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35" w:rsidRPr="00800E54" w:rsidRDefault="008A6635" w:rsidP="00AA0385">
      <w:pPr>
        <w:jc w:val="left"/>
        <w:rPr>
          <w:b/>
          <w:sz w:val="28"/>
          <w:szCs w:val="28"/>
          <w:lang w:val="en-GB"/>
        </w:rPr>
      </w:pPr>
      <w:bookmarkStart w:id="0" w:name="_GoBack"/>
      <w:bookmarkEnd w:id="0"/>
      <w:r w:rsidRPr="00800E54">
        <w:rPr>
          <w:b/>
          <w:sz w:val="28"/>
          <w:szCs w:val="28"/>
          <w:lang w:val="en-GB"/>
        </w:rPr>
        <w:t>Strategy Choice in Transit Networks</w:t>
      </w:r>
    </w:p>
    <w:p w:rsidR="008A6635" w:rsidRPr="00800E54" w:rsidRDefault="008A6635" w:rsidP="008A6635">
      <w:pPr>
        <w:autoSpaceDE w:val="0"/>
        <w:autoSpaceDN w:val="0"/>
        <w:adjustRightInd w:val="0"/>
        <w:rPr>
          <w:kern w:val="0"/>
          <w:sz w:val="24"/>
          <w:lang w:val="en-GB"/>
        </w:rPr>
      </w:pPr>
    </w:p>
    <w:p w:rsidR="008A6635" w:rsidRPr="00800E54" w:rsidRDefault="008A6635" w:rsidP="008A6635">
      <w:pPr>
        <w:ind w:rightChars="471" w:right="989"/>
        <w:jc w:val="left"/>
        <w:outlineLvl w:val="0"/>
        <w:rPr>
          <w:sz w:val="24"/>
          <w:szCs w:val="23"/>
          <w:vertAlign w:val="superscript"/>
          <w:lang w:val="en-GB"/>
        </w:rPr>
      </w:pPr>
      <w:r w:rsidRPr="00800E54">
        <w:rPr>
          <w:sz w:val="24"/>
          <w:szCs w:val="23"/>
          <w:lang w:val="en-GB"/>
        </w:rPr>
        <w:t>Achille F</w:t>
      </w:r>
      <w:r w:rsidR="00003A61" w:rsidRPr="00800E54">
        <w:rPr>
          <w:sz w:val="24"/>
          <w:szCs w:val="23"/>
          <w:lang w:val="en-GB"/>
        </w:rPr>
        <w:t>ONZONE</w:t>
      </w:r>
      <w:r w:rsidRPr="00800E54">
        <w:rPr>
          <w:sz w:val="24"/>
          <w:szCs w:val="23"/>
          <w:vertAlign w:val="superscript"/>
          <w:lang w:val="en-GB"/>
        </w:rPr>
        <w:t xml:space="preserve"> a</w:t>
      </w:r>
      <w:r w:rsidRPr="00800E54">
        <w:rPr>
          <w:sz w:val="24"/>
          <w:szCs w:val="23"/>
          <w:lang w:val="en-GB"/>
        </w:rPr>
        <w:t xml:space="preserve">, Jan-Dirk </w:t>
      </w:r>
      <w:r w:rsidR="00003A61" w:rsidRPr="00800E54">
        <w:rPr>
          <w:rFonts w:ascii="Times New Roman" w:hAnsi="Times New Roman"/>
          <w:sz w:val="24"/>
          <w:lang w:val="en-GB"/>
        </w:rPr>
        <w:t>SCHM</w:t>
      </w:r>
      <w:r w:rsidR="009140EC" w:rsidRPr="00800E54">
        <w:rPr>
          <w:rFonts w:ascii="Times New Roman" w:hAnsi="Times New Roman"/>
          <w:sz w:val="24"/>
          <w:lang w:val="en-GB"/>
        </w:rPr>
        <w:t>Ö</w:t>
      </w:r>
      <w:r w:rsidR="00003A61" w:rsidRPr="00800E54">
        <w:rPr>
          <w:rFonts w:ascii="Times New Roman" w:hAnsi="Times New Roman"/>
          <w:sz w:val="24"/>
          <w:lang w:val="en-GB"/>
        </w:rPr>
        <w:t>CKER</w:t>
      </w:r>
      <w:r w:rsidRPr="00800E54">
        <w:rPr>
          <w:sz w:val="24"/>
          <w:szCs w:val="23"/>
          <w:vertAlign w:val="superscript"/>
          <w:lang w:val="en-GB"/>
        </w:rPr>
        <w:t>b</w:t>
      </w:r>
      <w:r w:rsidRPr="00800E54">
        <w:rPr>
          <w:sz w:val="24"/>
          <w:szCs w:val="23"/>
          <w:lang w:val="en-GB"/>
        </w:rPr>
        <w:t>, Fumitaka K</w:t>
      </w:r>
      <w:r w:rsidR="00003A61" w:rsidRPr="00800E54">
        <w:rPr>
          <w:sz w:val="24"/>
          <w:szCs w:val="23"/>
          <w:lang w:val="en-GB"/>
        </w:rPr>
        <w:t>URAUCHI</w:t>
      </w:r>
      <w:r w:rsidRPr="00800E54">
        <w:rPr>
          <w:sz w:val="24"/>
          <w:szCs w:val="23"/>
          <w:vertAlign w:val="superscript"/>
          <w:lang w:val="en-GB"/>
        </w:rPr>
        <w:t xml:space="preserve"> c</w:t>
      </w:r>
      <w:r w:rsidRPr="00800E54">
        <w:rPr>
          <w:sz w:val="24"/>
          <w:szCs w:val="23"/>
          <w:lang w:val="en-GB"/>
        </w:rPr>
        <w:t xml:space="preserve">, Seham M. </w:t>
      </w:r>
      <w:r w:rsidR="00003A61" w:rsidRPr="00800E54">
        <w:rPr>
          <w:sz w:val="24"/>
          <w:szCs w:val="23"/>
          <w:lang w:val="en-GB"/>
        </w:rPr>
        <w:t>HASSAN</w:t>
      </w:r>
      <w:r w:rsidRPr="00800E54">
        <w:rPr>
          <w:sz w:val="24"/>
          <w:szCs w:val="23"/>
          <w:vertAlign w:val="superscript"/>
          <w:lang w:val="en-GB"/>
        </w:rPr>
        <w:t xml:space="preserve"> d</w:t>
      </w:r>
    </w:p>
    <w:p w:rsidR="008A6635" w:rsidRPr="00800E54" w:rsidRDefault="008A6635" w:rsidP="008A6635">
      <w:pPr>
        <w:ind w:rightChars="471" w:right="989"/>
        <w:jc w:val="left"/>
        <w:outlineLvl w:val="0"/>
        <w:rPr>
          <w:i/>
          <w:sz w:val="22"/>
          <w:lang w:val="en-GB"/>
        </w:rPr>
      </w:pPr>
    </w:p>
    <w:p w:rsidR="008A6635" w:rsidRPr="00800E54" w:rsidRDefault="008A6635" w:rsidP="008A6635">
      <w:pPr>
        <w:ind w:left="142" w:rightChars="471" w:right="989" w:hangingChars="59" w:hanging="142"/>
        <w:jc w:val="left"/>
        <w:outlineLvl w:val="0"/>
        <w:rPr>
          <w:i/>
          <w:sz w:val="24"/>
          <w:lang w:val="en-GB"/>
        </w:rPr>
      </w:pPr>
      <w:r w:rsidRPr="00800E54">
        <w:rPr>
          <w:sz w:val="24"/>
          <w:vertAlign w:val="superscript"/>
          <w:lang w:val="en-GB"/>
        </w:rPr>
        <w:t>a</w:t>
      </w:r>
      <w:r w:rsidRPr="00800E54">
        <w:rPr>
          <w:i/>
          <w:sz w:val="24"/>
          <w:vertAlign w:val="superscript"/>
          <w:lang w:val="en-GB"/>
        </w:rPr>
        <w:t xml:space="preserve"> </w:t>
      </w:r>
      <w:r w:rsidRPr="00800E54">
        <w:rPr>
          <w:i/>
          <w:sz w:val="24"/>
          <w:lang w:val="en-GB"/>
        </w:rPr>
        <w:t>School of Engineering and Built Environment, Napier University, United Kingdom</w:t>
      </w:r>
    </w:p>
    <w:p w:rsidR="008A6635" w:rsidRPr="006F2E74" w:rsidRDefault="008A6635" w:rsidP="008A6635">
      <w:pPr>
        <w:ind w:left="142" w:rightChars="471" w:right="989" w:hangingChars="59" w:hanging="142"/>
        <w:jc w:val="left"/>
        <w:outlineLvl w:val="0"/>
        <w:rPr>
          <w:i/>
          <w:sz w:val="24"/>
          <w:lang w:val="it-IT"/>
        </w:rPr>
      </w:pPr>
      <w:r w:rsidRPr="006F2E74">
        <w:rPr>
          <w:sz w:val="24"/>
          <w:vertAlign w:val="superscript"/>
          <w:lang w:val="it-IT"/>
        </w:rPr>
        <w:t>a</w:t>
      </w:r>
      <w:r w:rsidRPr="006F2E74">
        <w:rPr>
          <w:i/>
          <w:sz w:val="24"/>
          <w:lang w:val="it-IT"/>
        </w:rPr>
        <w:t xml:space="preserve"> </w:t>
      </w:r>
      <w:r w:rsidRPr="006F2E74">
        <w:rPr>
          <w:rFonts w:ascii="Times New Roman" w:hAnsi="Times New Roman"/>
          <w:i/>
          <w:sz w:val="24"/>
          <w:lang w:val="it-IT"/>
        </w:rPr>
        <w:t>E-mail:</w:t>
      </w:r>
      <w:r w:rsidR="009140EC" w:rsidRPr="006F2E74">
        <w:rPr>
          <w:lang w:val="it-IT"/>
        </w:rPr>
        <w:t xml:space="preserve"> </w:t>
      </w:r>
      <w:r w:rsidR="009140EC" w:rsidRPr="006F2E74">
        <w:rPr>
          <w:rFonts w:ascii="Times New Roman" w:hAnsi="Times New Roman"/>
          <w:i/>
          <w:sz w:val="24"/>
          <w:lang w:val="it-IT"/>
        </w:rPr>
        <w:t>a.fonzone@napier.ac.uk</w:t>
      </w:r>
    </w:p>
    <w:p w:rsidR="008A6635" w:rsidRPr="00800E54" w:rsidRDefault="008A6635" w:rsidP="008A6635">
      <w:pPr>
        <w:ind w:left="142" w:rightChars="471" w:right="989" w:hangingChars="59" w:hanging="142"/>
        <w:jc w:val="left"/>
        <w:outlineLvl w:val="0"/>
        <w:rPr>
          <w:sz w:val="24"/>
          <w:vertAlign w:val="superscript"/>
          <w:lang w:val="en-GB"/>
        </w:rPr>
      </w:pPr>
      <w:r w:rsidRPr="00800E54">
        <w:rPr>
          <w:sz w:val="24"/>
          <w:vertAlign w:val="superscript"/>
          <w:lang w:val="en-GB"/>
        </w:rPr>
        <w:t>b</w:t>
      </w:r>
      <w:r w:rsidRPr="00800E54">
        <w:rPr>
          <w:i/>
          <w:lang w:val="en-GB"/>
        </w:rPr>
        <w:t xml:space="preserve"> </w:t>
      </w:r>
      <w:r w:rsidRPr="00800E54">
        <w:rPr>
          <w:i/>
          <w:sz w:val="24"/>
          <w:lang w:val="en-GB"/>
        </w:rPr>
        <w:t>Graduate School of Engineering, Kyoto University, Japan</w:t>
      </w:r>
    </w:p>
    <w:p w:rsidR="008A6635" w:rsidRPr="006F2E74" w:rsidRDefault="008A6635" w:rsidP="008A6635">
      <w:pPr>
        <w:ind w:left="142" w:rightChars="471" w:right="989" w:hangingChars="59" w:hanging="142"/>
        <w:jc w:val="left"/>
        <w:outlineLvl w:val="0"/>
        <w:rPr>
          <w:sz w:val="24"/>
          <w:vertAlign w:val="superscript"/>
          <w:lang w:val="it-IT"/>
        </w:rPr>
      </w:pPr>
      <w:r w:rsidRPr="006F2E74">
        <w:rPr>
          <w:sz w:val="24"/>
          <w:vertAlign w:val="superscript"/>
          <w:lang w:val="it-IT"/>
        </w:rPr>
        <w:t>b</w:t>
      </w:r>
      <w:r w:rsidRPr="006F2E74">
        <w:rPr>
          <w:i/>
          <w:sz w:val="24"/>
          <w:lang w:val="it-IT"/>
        </w:rPr>
        <w:t xml:space="preserve"> </w:t>
      </w:r>
      <w:r w:rsidRPr="006F2E74">
        <w:rPr>
          <w:rFonts w:ascii="Times New Roman" w:hAnsi="Times New Roman"/>
          <w:i/>
          <w:sz w:val="24"/>
          <w:lang w:val="it-IT"/>
        </w:rPr>
        <w:t>E-mail:</w:t>
      </w:r>
      <w:r w:rsidR="009140EC" w:rsidRPr="006F2E74">
        <w:rPr>
          <w:rFonts w:ascii="Times New Roman" w:hAnsi="Times New Roman"/>
          <w:i/>
          <w:sz w:val="24"/>
          <w:lang w:val="it-IT"/>
        </w:rPr>
        <w:t xml:space="preserve"> schmoecker@trans.kuciv.kyoto-u.ac.jp</w:t>
      </w:r>
    </w:p>
    <w:p w:rsidR="008A6635" w:rsidRPr="00800E54" w:rsidRDefault="008A6635" w:rsidP="008A6635">
      <w:pPr>
        <w:ind w:left="142" w:rightChars="471" w:right="989" w:hangingChars="59" w:hanging="142"/>
        <w:jc w:val="left"/>
        <w:outlineLvl w:val="0"/>
        <w:rPr>
          <w:sz w:val="24"/>
          <w:vertAlign w:val="superscript"/>
          <w:lang w:val="en-GB"/>
        </w:rPr>
      </w:pPr>
      <w:r w:rsidRPr="00800E54">
        <w:rPr>
          <w:sz w:val="24"/>
          <w:vertAlign w:val="superscript"/>
          <w:lang w:val="en-GB"/>
        </w:rPr>
        <w:t xml:space="preserve">c </w:t>
      </w:r>
      <w:r w:rsidRPr="00800E54">
        <w:rPr>
          <w:i/>
          <w:sz w:val="24"/>
          <w:lang w:val="en-GB"/>
        </w:rPr>
        <w:t>Department of Civil Engineering, Gifu University, Japan</w:t>
      </w:r>
    </w:p>
    <w:p w:rsidR="008A6635" w:rsidRPr="006F2E74" w:rsidRDefault="008A6635" w:rsidP="008A6635">
      <w:pPr>
        <w:ind w:left="142" w:rightChars="471" w:right="989" w:hangingChars="59" w:hanging="142"/>
        <w:jc w:val="left"/>
        <w:outlineLvl w:val="0"/>
        <w:rPr>
          <w:sz w:val="24"/>
          <w:vertAlign w:val="superscript"/>
          <w:lang w:val="it-IT"/>
        </w:rPr>
      </w:pPr>
      <w:r w:rsidRPr="006F2E74">
        <w:rPr>
          <w:sz w:val="24"/>
          <w:vertAlign w:val="superscript"/>
          <w:lang w:val="it-IT"/>
        </w:rPr>
        <w:t xml:space="preserve">c </w:t>
      </w:r>
      <w:r w:rsidRPr="006F2E74">
        <w:rPr>
          <w:rFonts w:ascii="Times New Roman" w:hAnsi="Times New Roman"/>
          <w:i/>
          <w:sz w:val="24"/>
          <w:lang w:val="it-IT"/>
        </w:rPr>
        <w:t xml:space="preserve">E-mail: </w:t>
      </w:r>
      <w:r w:rsidRPr="006F2E74">
        <w:rPr>
          <w:i/>
          <w:sz w:val="24"/>
          <w:lang w:val="it-IT"/>
        </w:rPr>
        <w:t>kurauchi@gifu-u.ac.jp</w:t>
      </w:r>
    </w:p>
    <w:p w:rsidR="008A6635" w:rsidRPr="00800E54" w:rsidRDefault="008A6635" w:rsidP="008A6635">
      <w:pPr>
        <w:ind w:left="142" w:rightChars="471" w:right="989" w:hangingChars="59" w:hanging="142"/>
        <w:jc w:val="left"/>
        <w:outlineLvl w:val="0"/>
        <w:rPr>
          <w:sz w:val="24"/>
          <w:vertAlign w:val="superscript"/>
          <w:lang w:val="en-GB"/>
        </w:rPr>
      </w:pPr>
      <w:r w:rsidRPr="00800E54">
        <w:rPr>
          <w:sz w:val="24"/>
          <w:vertAlign w:val="superscript"/>
          <w:lang w:val="en-GB"/>
        </w:rPr>
        <w:t>d</w:t>
      </w:r>
      <w:r w:rsidRPr="00800E54">
        <w:rPr>
          <w:lang w:val="en-GB"/>
        </w:rPr>
        <w:t xml:space="preserve"> </w:t>
      </w:r>
      <w:r w:rsidRPr="00800E54">
        <w:rPr>
          <w:i/>
          <w:sz w:val="24"/>
          <w:lang w:val="en-GB"/>
        </w:rPr>
        <w:t>Graduate School of Engineering, Gifu University, Japan</w:t>
      </w:r>
    </w:p>
    <w:p w:rsidR="008A6635" w:rsidRPr="006F2E74" w:rsidRDefault="008A6635" w:rsidP="008A6635">
      <w:pPr>
        <w:ind w:left="142" w:rightChars="471" w:right="989" w:hangingChars="59" w:hanging="142"/>
        <w:jc w:val="left"/>
        <w:outlineLvl w:val="0"/>
        <w:rPr>
          <w:i/>
          <w:sz w:val="24"/>
          <w:lang w:val="it-IT"/>
        </w:rPr>
      </w:pPr>
      <w:r w:rsidRPr="006F2E74">
        <w:rPr>
          <w:sz w:val="24"/>
          <w:vertAlign w:val="superscript"/>
          <w:lang w:val="it-IT"/>
        </w:rPr>
        <w:t>d</w:t>
      </w:r>
      <w:r w:rsidRPr="006F2E74">
        <w:rPr>
          <w:i/>
          <w:sz w:val="24"/>
          <w:lang w:val="it-IT"/>
        </w:rPr>
        <w:t xml:space="preserve"> </w:t>
      </w:r>
      <w:r w:rsidRPr="006F2E74">
        <w:rPr>
          <w:rFonts w:ascii="Times New Roman" w:hAnsi="Times New Roman"/>
          <w:i/>
          <w:sz w:val="24"/>
          <w:lang w:val="it-IT"/>
        </w:rPr>
        <w:t>E-mail:</w:t>
      </w:r>
      <w:r w:rsidR="009140EC" w:rsidRPr="006F2E74">
        <w:rPr>
          <w:rFonts w:ascii="Times New Roman" w:hAnsi="Times New Roman"/>
          <w:i/>
          <w:sz w:val="24"/>
          <w:lang w:val="it-IT"/>
        </w:rPr>
        <w:t xml:space="preserve"> sehassan2007@yahoo.com</w:t>
      </w:r>
    </w:p>
    <w:p w:rsidR="008A6635" w:rsidRPr="006F2E74" w:rsidRDefault="008A6635" w:rsidP="008A6635">
      <w:pPr>
        <w:ind w:left="142" w:rightChars="471" w:right="989" w:hangingChars="59" w:hanging="142"/>
        <w:jc w:val="left"/>
        <w:outlineLvl w:val="0"/>
        <w:rPr>
          <w:i/>
          <w:sz w:val="24"/>
          <w:lang w:val="it-IT"/>
        </w:rPr>
      </w:pPr>
    </w:p>
    <w:p w:rsidR="008A6635" w:rsidRPr="00800E54" w:rsidRDefault="008A6635" w:rsidP="009140EC">
      <w:pPr>
        <w:autoSpaceDE w:val="0"/>
        <w:autoSpaceDN w:val="0"/>
        <w:adjustRightInd w:val="0"/>
        <w:ind w:right="-2"/>
        <w:rPr>
          <w:kern w:val="0"/>
          <w:sz w:val="24"/>
          <w:lang w:val="en-GB"/>
        </w:rPr>
      </w:pPr>
      <w:r w:rsidRPr="00800E54">
        <w:rPr>
          <w:b/>
          <w:kern w:val="0"/>
          <w:sz w:val="24"/>
          <w:lang w:val="en-GB"/>
        </w:rPr>
        <w:t>Abstract</w:t>
      </w:r>
      <w:r w:rsidRPr="00800E54">
        <w:rPr>
          <w:kern w:val="0"/>
          <w:sz w:val="24"/>
          <w:lang w:val="en-GB"/>
        </w:rPr>
        <w:t xml:space="preserve">: </w:t>
      </w:r>
      <w:r w:rsidR="009140EC" w:rsidRPr="00800E54">
        <w:rPr>
          <w:kern w:val="0"/>
          <w:sz w:val="24"/>
          <w:lang w:val="en-GB"/>
        </w:rPr>
        <w:t>Public transport passengers are assumed to choose routes that minimise the expected travel times. In networks with high-frequency services this requires the adoption of hyperpaths. An experimental validation of the hyperpath model</w:t>
      </w:r>
      <w:r w:rsidR="00800E54">
        <w:rPr>
          <w:rFonts w:hint="eastAsia"/>
          <w:kern w:val="0"/>
          <w:sz w:val="24"/>
          <w:lang w:val="en-GB"/>
        </w:rPr>
        <w:t xml:space="preserve"> </w:t>
      </w:r>
      <w:r w:rsidR="009140EC" w:rsidRPr="00800E54">
        <w:rPr>
          <w:kern w:val="0"/>
          <w:sz w:val="24"/>
          <w:lang w:val="en-GB"/>
        </w:rPr>
        <w:t>has been carried out through a web-based survey. Findings of previous work on the survey are compared with a new cluster analysis of travellers’ behaviour as reported by respondents in the stated preference section of the survey. Results show that the behaviour usually assumed in transit models is not the most common approach to route choice in transit network. Implications for transit assignment models are discussed.</w:t>
      </w:r>
    </w:p>
    <w:p w:rsidR="008B45B9" w:rsidRPr="00800E54" w:rsidRDefault="008B45B9" w:rsidP="009140EC">
      <w:pPr>
        <w:autoSpaceDE w:val="0"/>
        <w:autoSpaceDN w:val="0"/>
        <w:adjustRightInd w:val="0"/>
        <w:ind w:right="-2"/>
        <w:rPr>
          <w:kern w:val="0"/>
          <w:sz w:val="24"/>
          <w:lang w:val="en-GB"/>
        </w:rPr>
      </w:pPr>
    </w:p>
    <w:p w:rsidR="008B45B9" w:rsidRPr="00800E54" w:rsidRDefault="008B45B9" w:rsidP="009140EC">
      <w:pPr>
        <w:autoSpaceDE w:val="0"/>
        <w:autoSpaceDN w:val="0"/>
        <w:adjustRightInd w:val="0"/>
        <w:ind w:right="-2"/>
        <w:rPr>
          <w:kern w:val="0"/>
          <w:sz w:val="24"/>
          <w:lang w:val="en-GB"/>
        </w:rPr>
      </w:pPr>
    </w:p>
    <w:p w:rsidR="008A6635" w:rsidRPr="00800E54" w:rsidRDefault="008A6635" w:rsidP="008A6635">
      <w:pPr>
        <w:autoSpaceDE w:val="0"/>
        <w:autoSpaceDN w:val="0"/>
        <w:adjustRightInd w:val="0"/>
        <w:rPr>
          <w:kern w:val="0"/>
          <w:sz w:val="24"/>
          <w:lang w:val="en-GB"/>
        </w:rPr>
      </w:pPr>
      <w:r w:rsidRPr="00800E54">
        <w:rPr>
          <w:i/>
          <w:kern w:val="0"/>
          <w:sz w:val="24"/>
          <w:lang w:val="en-GB"/>
        </w:rPr>
        <w:t>Keywords</w:t>
      </w:r>
      <w:r w:rsidRPr="00800E54">
        <w:rPr>
          <w:kern w:val="0"/>
          <w:sz w:val="24"/>
          <w:lang w:val="en-GB"/>
        </w:rPr>
        <w:t xml:space="preserve">: </w:t>
      </w:r>
      <w:r w:rsidR="008B45B9" w:rsidRPr="00800E54">
        <w:rPr>
          <w:kern w:val="0"/>
          <w:sz w:val="24"/>
          <w:lang w:val="en-GB"/>
        </w:rPr>
        <w:t xml:space="preserve">Passenger Behaviour, Transit Assignment, </w:t>
      </w:r>
      <w:r w:rsidRPr="00800E54">
        <w:rPr>
          <w:kern w:val="0"/>
          <w:sz w:val="24"/>
          <w:lang w:val="en-GB"/>
        </w:rPr>
        <w:t>Hyperpaths, Web survey, Cluster Analysis</w:t>
      </w:r>
    </w:p>
    <w:p w:rsidR="008B45B9" w:rsidRPr="00800E54" w:rsidRDefault="008B45B9" w:rsidP="00470A31">
      <w:pPr>
        <w:autoSpaceDE w:val="0"/>
        <w:autoSpaceDN w:val="0"/>
        <w:adjustRightInd w:val="0"/>
        <w:rPr>
          <w:rFonts w:ascii="Times New Roman" w:hAnsi="Times New Roman"/>
          <w:kern w:val="0"/>
          <w:sz w:val="24"/>
          <w:lang w:val="en-GB"/>
        </w:rPr>
      </w:pPr>
    </w:p>
    <w:p w:rsidR="00A61A41" w:rsidRPr="00800E54" w:rsidRDefault="00A61A41" w:rsidP="00470A31">
      <w:pPr>
        <w:autoSpaceDE w:val="0"/>
        <w:autoSpaceDN w:val="0"/>
        <w:adjustRightInd w:val="0"/>
        <w:rPr>
          <w:rFonts w:ascii="Times New Roman" w:hAnsi="Times New Roman"/>
          <w:kern w:val="0"/>
          <w:sz w:val="24"/>
          <w:lang w:val="en-GB"/>
        </w:rPr>
      </w:pPr>
    </w:p>
    <w:p w:rsidR="00D07F27" w:rsidRPr="00800E54" w:rsidRDefault="003E77FB" w:rsidP="00470A31">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1. INTRODUCTION</w:t>
      </w:r>
    </w:p>
    <w:p w:rsidR="003E77FB" w:rsidRPr="00800E54" w:rsidRDefault="003E77FB" w:rsidP="00202216">
      <w:pPr>
        <w:rPr>
          <w:rFonts w:ascii="Times New Roman" w:hAnsi="Times New Roman"/>
          <w:b/>
          <w:sz w:val="24"/>
          <w:lang w:val="en-GB"/>
        </w:rPr>
      </w:pPr>
    </w:p>
    <w:p w:rsidR="00003A61" w:rsidRPr="00800E54" w:rsidRDefault="00003A61" w:rsidP="00003A61">
      <w:pPr>
        <w:ind w:firstLineChars="250" w:firstLine="600"/>
        <w:rPr>
          <w:rFonts w:ascii="Times New Roman" w:hAnsi="Times New Roman"/>
          <w:sz w:val="24"/>
          <w:lang w:val="en-GB"/>
        </w:rPr>
      </w:pPr>
      <w:r w:rsidRPr="00800E54">
        <w:rPr>
          <w:rFonts w:ascii="Times New Roman" w:hAnsi="Times New Roman"/>
          <w:sz w:val="24"/>
          <w:lang w:val="en-GB"/>
        </w:rPr>
        <w:t xml:space="preserve">It is generally assumed that on transit networks </w:t>
      </w:r>
      <w:r w:rsidR="00C76138" w:rsidRPr="00800E54">
        <w:rPr>
          <w:rFonts w:ascii="Times New Roman" w:hAnsi="Times New Roman"/>
          <w:sz w:val="24"/>
          <w:lang w:val="en-GB"/>
        </w:rPr>
        <w:t xml:space="preserve">with frequent services </w:t>
      </w:r>
      <w:r w:rsidRPr="00800E54">
        <w:rPr>
          <w:rFonts w:ascii="Times New Roman" w:hAnsi="Times New Roman"/>
          <w:sz w:val="24"/>
          <w:lang w:val="en-GB"/>
        </w:rPr>
        <w:t xml:space="preserve">travellers try to minimise their expected </w:t>
      </w:r>
      <w:r w:rsidR="00C76138" w:rsidRPr="00800E54">
        <w:rPr>
          <w:rFonts w:ascii="Times New Roman" w:hAnsi="Times New Roman"/>
          <w:sz w:val="24"/>
          <w:lang w:val="en-GB"/>
        </w:rPr>
        <w:t>generalised cost</w:t>
      </w:r>
      <w:r w:rsidRPr="00800E54">
        <w:rPr>
          <w:rFonts w:ascii="Times New Roman" w:hAnsi="Times New Roman"/>
          <w:sz w:val="24"/>
          <w:lang w:val="en-GB"/>
        </w:rPr>
        <w:t xml:space="preserve"> consisting of waiting time, on-board time as well as potentially other factors such as fare, crowding or seat availability by selecting a hyperpath. A hyperpath can be defined as a set of attractive lines identified by the passenger for each stop, each of which might be the optimal one from the stop, depending on lines</w:t>
      </w:r>
      <w:r w:rsidR="00967E73" w:rsidRPr="00800E54">
        <w:rPr>
          <w:rFonts w:ascii="Times New Roman" w:hAnsi="Times New Roman"/>
          <w:sz w:val="24"/>
          <w:lang w:val="en-GB"/>
        </w:rPr>
        <w:t>’</w:t>
      </w:r>
      <w:r w:rsidRPr="00800E54">
        <w:rPr>
          <w:rFonts w:ascii="Times New Roman" w:hAnsi="Times New Roman"/>
          <w:sz w:val="24"/>
          <w:lang w:val="en-GB"/>
        </w:rPr>
        <w:t xml:space="preserve"> arrival time, frequency, cost etc. In networks with few uncertainties, e.g. </w:t>
      </w:r>
      <w:r w:rsidR="00C76138" w:rsidRPr="00800E54">
        <w:rPr>
          <w:rFonts w:ascii="Times New Roman" w:hAnsi="Times New Roman"/>
          <w:sz w:val="24"/>
          <w:lang w:val="en-GB"/>
        </w:rPr>
        <w:t>because the schedule is reliable or real time information is available</w:t>
      </w:r>
      <w:r w:rsidRPr="00800E54">
        <w:rPr>
          <w:rFonts w:ascii="Times New Roman" w:hAnsi="Times New Roman"/>
          <w:sz w:val="24"/>
          <w:lang w:val="en-GB"/>
        </w:rPr>
        <w:t>, this set of services will be smaller as passengers can better estimate whether it is advantageous to let slow services pass in order to wait for the faster service that might arrive soon. This behavioural assumption has led to a fairly large set of literature.</w:t>
      </w:r>
    </w:p>
    <w:p w:rsidR="00003A61" w:rsidRPr="00800E54" w:rsidRDefault="00003A61" w:rsidP="00003A61">
      <w:pPr>
        <w:ind w:firstLineChars="250" w:firstLine="600"/>
        <w:rPr>
          <w:rFonts w:ascii="Times New Roman" w:hAnsi="Times New Roman"/>
          <w:sz w:val="24"/>
          <w:lang w:val="en-GB"/>
        </w:rPr>
      </w:pPr>
      <w:r w:rsidRPr="00800E54">
        <w:rPr>
          <w:rFonts w:ascii="Times New Roman" w:hAnsi="Times New Roman"/>
          <w:sz w:val="24"/>
          <w:lang w:val="en-GB"/>
        </w:rPr>
        <w:t xml:space="preserve">A passenger at a stop frequently has a choice between a number of lines which will get him directly or indirectly to his destination. The lines may differ in their attractiveness, </w:t>
      </w:r>
      <w:r w:rsidR="00CB3E61" w:rsidRPr="00800E54">
        <w:rPr>
          <w:rFonts w:ascii="Times New Roman" w:hAnsi="Times New Roman"/>
          <w:sz w:val="24"/>
          <w:lang w:val="en-GB"/>
        </w:rPr>
        <w:t xml:space="preserve">depending on </w:t>
      </w:r>
      <w:r w:rsidRPr="00800E54">
        <w:rPr>
          <w:rFonts w:ascii="Times New Roman" w:hAnsi="Times New Roman"/>
          <w:sz w:val="24"/>
          <w:lang w:val="en-GB"/>
        </w:rPr>
        <w:t>the travel time to the destination, the number of changes</w:t>
      </w:r>
      <w:r w:rsidR="00C76138" w:rsidRPr="00800E54">
        <w:rPr>
          <w:rFonts w:ascii="Times New Roman" w:hAnsi="Times New Roman"/>
          <w:sz w:val="24"/>
          <w:lang w:val="en-GB"/>
        </w:rPr>
        <w:t xml:space="preserve"> their use entails</w:t>
      </w:r>
      <w:r w:rsidRPr="00800E54">
        <w:rPr>
          <w:rFonts w:ascii="Times New Roman" w:hAnsi="Times New Roman"/>
          <w:sz w:val="24"/>
          <w:lang w:val="en-GB"/>
        </w:rPr>
        <w:t xml:space="preserve">, the probability of seat availability, etc. A dilemma frequently faced is whether to take the next vehicle arriving or to wait for a line with shorter travel time. This family of issues is referred to as the common lines problem. Lampkin and Saalmans (1967) assumed that the passenger at </w:t>
      </w:r>
      <w:r w:rsidRPr="00800E54">
        <w:rPr>
          <w:rFonts w:ascii="Times New Roman" w:hAnsi="Times New Roman"/>
          <w:sz w:val="24"/>
          <w:lang w:val="en-GB"/>
        </w:rPr>
        <w:lastRenderedPageBreak/>
        <w:t xml:space="preserve">the stop ignores lines that are obviously “bad” and chooses the first vehicle to arrive from among the other routes. This introduces the notion of a strategy, which consists of a choice set of attractive lines and a selection rule. Further Chriqui and Robillard (1975) presented a probabilistic framework for studying the common lines problem. The passenger at a stop selects the sub-set of lines which minimises his expected travel time on the assumption that he </w:t>
      </w:r>
      <w:r w:rsidR="00C76138" w:rsidRPr="00800E54">
        <w:rPr>
          <w:rFonts w:ascii="Times New Roman" w:hAnsi="Times New Roman"/>
          <w:sz w:val="24"/>
          <w:lang w:val="en-GB"/>
        </w:rPr>
        <w:t xml:space="preserve">will board </w:t>
      </w:r>
      <w:r w:rsidRPr="00800E54">
        <w:rPr>
          <w:rFonts w:ascii="Times New Roman" w:hAnsi="Times New Roman"/>
          <w:sz w:val="24"/>
          <w:lang w:val="en-GB"/>
        </w:rPr>
        <w:t xml:space="preserve">the next vehicle serving a line within that sub-set. </w:t>
      </w:r>
    </w:p>
    <w:p w:rsidR="00003A61" w:rsidRPr="00800E54" w:rsidRDefault="00003A61" w:rsidP="002E57E1">
      <w:pPr>
        <w:ind w:firstLineChars="250" w:firstLine="600"/>
        <w:rPr>
          <w:rFonts w:ascii="Times New Roman" w:hAnsi="Times New Roman"/>
          <w:sz w:val="24"/>
          <w:lang w:val="en-GB"/>
        </w:rPr>
      </w:pPr>
      <w:r w:rsidRPr="00800E54">
        <w:rPr>
          <w:rFonts w:ascii="Times New Roman" w:hAnsi="Times New Roman"/>
          <w:sz w:val="24"/>
          <w:lang w:val="en-GB"/>
        </w:rPr>
        <w:t>Spiess and Florian (1989) combined the common lines problem and the equilibrium assignment problem in a linear programming framework.</w:t>
      </w:r>
      <w:r w:rsidR="00967E73" w:rsidRPr="00800E54">
        <w:rPr>
          <w:rFonts w:ascii="Times New Roman" w:hAnsi="Times New Roman"/>
          <w:sz w:val="24"/>
          <w:lang w:val="en-GB"/>
        </w:rPr>
        <w:t xml:space="preserve"> </w:t>
      </w:r>
      <w:r w:rsidRPr="00800E54">
        <w:rPr>
          <w:rFonts w:ascii="Times New Roman" w:hAnsi="Times New Roman"/>
          <w:sz w:val="24"/>
          <w:lang w:val="en-GB"/>
        </w:rPr>
        <w:t>To find the solution, a non-linear mixed integer program with a total travel time objective plus flow conservation and non-negativity constraints was first formulated and converted into a linear program.</w:t>
      </w:r>
      <w:r w:rsidR="002E57E1" w:rsidRPr="00800E54">
        <w:rPr>
          <w:rFonts w:ascii="Times New Roman" w:hAnsi="Times New Roman"/>
          <w:sz w:val="24"/>
          <w:lang w:val="en-GB"/>
        </w:rPr>
        <w:t xml:space="preserve"> </w:t>
      </w:r>
      <w:r w:rsidRPr="00800E54">
        <w:rPr>
          <w:rFonts w:ascii="Times New Roman" w:hAnsi="Times New Roman"/>
          <w:sz w:val="24"/>
          <w:lang w:val="en-GB"/>
        </w:rPr>
        <w:t>The approach of Spiess and Florian (1989) was given a graph theoretic framework by Nguyen and Pallottino (1988), who introduced the concept of hyperpaths. A hyperpath connecting an origin to a destination includes all the elemental paths that could be used by a passenger, and thus encapsulates his strategy. Costs consist of link travel costs and node delay costs. The share of traffic on each link leaving any node in a hyperpath is proportional to the respective service frequencies on those links, so the distribution of traffic across the elemental paths can be calculated sequentially.</w:t>
      </w:r>
      <w:r w:rsidR="002E57E1" w:rsidRPr="00800E54">
        <w:rPr>
          <w:rFonts w:ascii="Times New Roman" w:hAnsi="Times New Roman"/>
          <w:sz w:val="24"/>
          <w:lang w:val="en-GB"/>
        </w:rPr>
        <w:t xml:space="preserve"> T</w:t>
      </w:r>
      <w:r w:rsidRPr="00800E54">
        <w:rPr>
          <w:rFonts w:ascii="Times New Roman" w:hAnsi="Times New Roman"/>
          <w:sz w:val="24"/>
          <w:lang w:val="en-GB"/>
        </w:rPr>
        <w:t xml:space="preserve">ransit assignment models considering the hyperpath choice </w:t>
      </w:r>
      <w:r w:rsidR="002E57E1" w:rsidRPr="00800E54">
        <w:rPr>
          <w:rFonts w:ascii="Times New Roman" w:hAnsi="Times New Roman"/>
          <w:sz w:val="24"/>
          <w:lang w:val="en-GB"/>
        </w:rPr>
        <w:t xml:space="preserve">generally assume </w:t>
      </w:r>
      <w:r w:rsidRPr="00800E54">
        <w:rPr>
          <w:rFonts w:ascii="Times New Roman" w:hAnsi="Times New Roman"/>
          <w:sz w:val="24"/>
          <w:lang w:val="en-GB"/>
        </w:rPr>
        <w:t>the equal weight on in-vehicle and waiting time, and there is no additional burden in transferring the line. These assumptions are, however, apparently inadequate and much research has analysed the value of time of public transport in-vehicle time, waiting time, walking time and so on (Wardman, 2004).</w:t>
      </w:r>
    </w:p>
    <w:p w:rsidR="00003A61" w:rsidRPr="00800E54" w:rsidRDefault="00003A61" w:rsidP="00003A61">
      <w:pPr>
        <w:ind w:firstLineChars="300" w:firstLine="720"/>
        <w:rPr>
          <w:rFonts w:ascii="Times New Roman" w:hAnsi="Times New Roman"/>
          <w:sz w:val="24"/>
          <w:lang w:val="en-GB"/>
        </w:rPr>
      </w:pPr>
      <w:r w:rsidRPr="00800E54">
        <w:rPr>
          <w:rFonts w:ascii="Times New Roman" w:hAnsi="Times New Roman"/>
          <w:sz w:val="24"/>
          <w:lang w:val="en-GB"/>
        </w:rPr>
        <w:t xml:space="preserve">Based on the above background, we conducted a survey to better understand the behaviour of passengers and which factors influence their strategy choice. Our research questions are: Do all travellers choose the same hyperpath or can significant differences be observed? Are previous transit experiences and socio demographic characteristics significantly influencing factors? Are there possibly even cultural differences between passengers in different countries as maybe anecdotally claimed? To answer these questions we conducted a web-based survey which involved respondents from 25 countries. A full presentation of the survey and first analyses can be found in Fonzone et al. (2010) and </w:t>
      </w:r>
      <w:r w:rsidR="00967E73" w:rsidRPr="00800E54">
        <w:rPr>
          <w:rFonts w:ascii="Times New Roman" w:hAnsi="Times New Roman"/>
          <w:sz w:val="24"/>
          <w:lang w:val="en-GB"/>
        </w:rPr>
        <w:t xml:space="preserve">Kurauchi </w:t>
      </w:r>
      <w:r w:rsidRPr="00800E54">
        <w:rPr>
          <w:rFonts w:ascii="Times New Roman" w:hAnsi="Times New Roman"/>
          <w:sz w:val="24"/>
          <w:lang w:val="en-GB"/>
        </w:rPr>
        <w:t>et al. (2012</w:t>
      </w:r>
      <w:r w:rsidR="00967E73" w:rsidRPr="00800E54">
        <w:rPr>
          <w:rFonts w:ascii="Times New Roman" w:hAnsi="Times New Roman"/>
          <w:sz w:val="24"/>
          <w:lang w:val="en-GB"/>
        </w:rPr>
        <w:t>a</w:t>
      </w:r>
      <w:r w:rsidRPr="00800E54">
        <w:rPr>
          <w:rFonts w:ascii="Times New Roman" w:hAnsi="Times New Roman"/>
          <w:sz w:val="24"/>
          <w:lang w:val="en-GB"/>
        </w:rPr>
        <w:t>). In this paper, together with a summary of the previous conclusions, we present a further analysis of the survey which aims at identifying different routing strategies in transit networks and at establishing the existence of relationships with demand characteristics.</w:t>
      </w:r>
    </w:p>
    <w:p w:rsidR="00003A61" w:rsidRPr="00800E54" w:rsidRDefault="00003A61" w:rsidP="00003A61">
      <w:pPr>
        <w:ind w:firstLineChars="250" w:firstLine="600"/>
        <w:rPr>
          <w:rFonts w:ascii="Times New Roman" w:hAnsi="Times New Roman"/>
          <w:sz w:val="24"/>
          <w:lang w:val="en-GB"/>
        </w:rPr>
      </w:pPr>
      <w:r w:rsidRPr="00800E54">
        <w:rPr>
          <w:rFonts w:ascii="Times New Roman" w:hAnsi="Times New Roman"/>
          <w:sz w:val="24"/>
          <w:lang w:val="en-GB"/>
        </w:rPr>
        <w:t xml:space="preserve">The paper is organised as follows: In Section 2 we provide a description of the survey and in particular of the questionnaire and the sample. In Section 3 we report the main results of the two mentioned works dealing with the same survey, as they are useful for a correct interpretation of </w:t>
      </w:r>
      <w:r w:rsidR="002E57E1" w:rsidRPr="00800E54">
        <w:rPr>
          <w:rFonts w:ascii="Times New Roman" w:hAnsi="Times New Roman"/>
          <w:sz w:val="24"/>
          <w:lang w:val="en-GB"/>
        </w:rPr>
        <w:t xml:space="preserve">the </w:t>
      </w:r>
      <w:r w:rsidRPr="00800E54">
        <w:rPr>
          <w:rFonts w:ascii="Times New Roman" w:hAnsi="Times New Roman"/>
          <w:sz w:val="24"/>
          <w:lang w:val="en-GB"/>
        </w:rPr>
        <w:t>results of this paper. Section 4 describes a cluster analysis singling out demand segments captured by the survey and route choice strategies adopted by respondents. Moreover the relationship between demand and strategy choices is investigated. Section 6 concludes the paper by discussing implications and further work.</w:t>
      </w:r>
    </w:p>
    <w:p w:rsidR="001E6776" w:rsidRPr="00800E54" w:rsidRDefault="001E6776" w:rsidP="00C904E2">
      <w:pPr>
        <w:ind w:firstLine="567"/>
        <w:rPr>
          <w:rFonts w:ascii="Times New Roman" w:hAnsi="Times New Roman"/>
          <w:sz w:val="24"/>
          <w:lang w:val="en-GB"/>
        </w:rPr>
      </w:pPr>
    </w:p>
    <w:p w:rsidR="00003A61" w:rsidRPr="00800E54" w:rsidRDefault="00003A61" w:rsidP="00C904E2">
      <w:pPr>
        <w:ind w:firstLine="567"/>
        <w:rPr>
          <w:rFonts w:ascii="Times New Roman" w:hAnsi="Times New Roman"/>
          <w:sz w:val="24"/>
          <w:lang w:val="en-GB"/>
        </w:rPr>
      </w:pPr>
    </w:p>
    <w:p w:rsidR="00003A61" w:rsidRPr="00800E54" w:rsidRDefault="00003A61" w:rsidP="00003A61">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2. SURVEY</w:t>
      </w:r>
    </w:p>
    <w:p w:rsidR="00003A61" w:rsidRPr="00800E54" w:rsidRDefault="00003A61" w:rsidP="00003A61">
      <w:pPr>
        <w:autoSpaceDE w:val="0"/>
        <w:autoSpaceDN w:val="0"/>
        <w:adjustRightInd w:val="0"/>
        <w:rPr>
          <w:rFonts w:ascii="Times New Roman" w:hAnsi="Times New Roman"/>
          <w:b/>
          <w:kern w:val="0"/>
          <w:sz w:val="24"/>
          <w:lang w:val="en-GB"/>
        </w:rPr>
      </w:pPr>
    </w:p>
    <w:p w:rsidR="00003A61" w:rsidRPr="00800E54" w:rsidRDefault="00003A61" w:rsidP="00003A61">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 xml:space="preserve">2.1 </w:t>
      </w:r>
      <w:r w:rsidRPr="00800E54">
        <w:rPr>
          <w:rFonts w:ascii="Times New Roman" w:eastAsia="MS PGothic" w:hAnsi="Times New Roman"/>
          <w:b/>
          <w:bCs/>
          <w:kern w:val="0"/>
          <w:sz w:val="24"/>
          <w:lang w:val="en-GB"/>
        </w:rPr>
        <w:t>General Description</w:t>
      </w:r>
    </w:p>
    <w:p w:rsidR="00003A61" w:rsidRPr="00800E54" w:rsidRDefault="00003A61" w:rsidP="00003A61">
      <w:pPr>
        <w:rPr>
          <w:rFonts w:ascii="Times New Roman" w:hAnsi="Times New Roman"/>
          <w:b/>
          <w:sz w:val="24"/>
          <w:lang w:val="en-GB"/>
        </w:rPr>
      </w:pPr>
    </w:p>
    <w:p w:rsidR="00003A61" w:rsidRPr="00800E54" w:rsidRDefault="00003A61" w:rsidP="00003A61">
      <w:pPr>
        <w:ind w:firstLineChars="250" w:firstLine="600"/>
        <w:rPr>
          <w:rFonts w:ascii="Times New Roman" w:hAnsi="Times New Roman"/>
          <w:sz w:val="24"/>
          <w:lang w:val="en-GB"/>
        </w:rPr>
      </w:pPr>
      <w:r w:rsidRPr="00800E54">
        <w:rPr>
          <w:rFonts w:ascii="Times New Roman" w:hAnsi="Times New Roman"/>
          <w:sz w:val="24"/>
          <w:lang w:val="en-GB"/>
        </w:rPr>
        <w:t xml:space="preserve">The </w:t>
      </w:r>
      <w:r w:rsidR="002E57E1" w:rsidRPr="00800E54">
        <w:rPr>
          <w:rFonts w:ascii="Times New Roman" w:hAnsi="Times New Roman"/>
          <w:sz w:val="24"/>
          <w:lang w:val="en-GB"/>
        </w:rPr>
        <w:t xml:space="preserve">survey </w:t>
      </w:r>
      <w:r w:rsidR="007F4DAC" w:rsidRPr="00800E54">
        <w:rPr>
          <w:rFonts w:ascii="Times New Roman" w:hAnsi="Times New Roman"/>
          <w:sz w:val="24"/>
          <w:lang w:val="en-GB"/>
        </w:rPr>
        <w:t>tool was a</w:t>
      </w:r>
      <w:r w:rsidR="002E57E1" w:rsidRPr="00800E54">
        <w:rPr>
          <w:rFonts w:ascii="Times New Roman" w:hAnsi="Times New Roman"/>
          <w:sz w:val="24"/>
          <w:lang w:val="en-GB"/>
        </w:rPr>
        <w:t xml:space="preserve"> </w:t>
      </w:r>
      <w:r w:rsidRPr="00800E54">
        <w:rPr>
          <w:rFonts w:ascii="Times New Roman" w:hAnsi="Times New Roman"/>
          <w:sz w:val="24"/>
          <w:lang w:val="en-GB"/>
        </w:rPr>
        <w:t xml:space="preserve">questionnaire made up of three sections and 36 questions, as described in Table 1. “Personal information” concerned age, gender, working status as well as place where respondents live and study. In the section “Actual behaviour” (referred to as RP – </w:t>
      </w:r>
      <w:r w:rsidRPr="00800E54">
        <w:rPr>
          <w:rFonts w:ascii="Times New Roman" w:hAnsi="Times New Roman"/>
          <w:sz w:val="24"/>
          <w:lang w:val="en-GB"/>
        </w:rPr>
        <w:lastRenderedPageBreak/>
        <w:t>Revealed Preference experiment in the following) respondents were asked to consider a trip by public transport they frequently make. Then firstly characteristics of these trips were asked for such as time duration, public transport means used or whether the trip requires interchanging. Respondents were further asked to answer questions on the information sources they use to plan the trip and potentially inform themselves about alternatives. To understand route choice flexibility respondents were further asked to state whether they do consider alternative routes by varying for example their departure station or route choice from their departure or an interchange station. The third part of the questionnaire on “Hypothetical route choice scenarios” includes 8 Stated Preference (SP) experiment questions. Participants were asked to select a route choice strategy in a simplified network making use of information about headways or waiting times and travel times. 6 of the 8 questions were intended to investigate how transit users deal with hyperpath choice, the other 2 to test the attitude towards reliability of the service.</w:t>
      </w:r>
    </w:p>
    <w:p w:rsidR="00003A61" w:rsidRPr="00800E54" w:rsidRDefault="00003A61" w:rsidP="00003A61">
      <w:pPr>
        <w:tabs>
          <w:tab w:val="left" w:pos="993"/>
        </w:tabs>
        <w:rPr>
          <w:rFonts w:ascii="Times New Roman" w:hAnsi="Times New Roman"/>
          <w:sz w:val="24"/>
          <w:lang w:val="en-GB"/>
        </w:rPr>
      </w:pPr>
    </w:p>
    <w:p w:rsidR="00003A61" w:rsidRPr="00800E54" w:rsidRDefault="00003A61" w:rsidP="00003A61">
      <w:pPr>
        <w:tabs>
          <w:tab w:val="left" w:pos="993"/>
        </w:tabs>
        <w:jc w:val="center"/>
        <w:rPr>
          <w:rFonts w:ascii="Times New Roman" w:hAnsi="Times New Roman"/>
          <w:sz w:val="24"/>
          <w:lang w:val="en-GB"/>
        </w:rPr>
      </w:pPr>
      <w:r w:rsidRPr="00800E54">
        <w:rPr>
          <w:rFonts w:ascii="Times New Roman" w:hAnsi="Times New Roman"/>
          <w:sz w:val="24"/>
          <w:lang w:val="en-GB"/>
        </w:rPr>
        <w:t>Table 1. Structure of the questionnaire</w:t>
      </w:r>
    </w:p>
    <w:tbl>
      <w:tblPr>
        <w:tblStyle w:val="TableGrid"/>
        <w:tblW w:w="8963" w:type="dxa"/>
        <w:tblLayout w:type="fixed"/>
        <w:tblCellMar>
          <w:left w:w="57" w:type="dxa"/>
          <w:right w:w="57" w:type="dxa"/>
        </w:tblCellMar>
        <w:tblLook w:val="04A0" w:firstRow="1" w:lastRow="0" w:firstColumn="1" w:lastColumn="0" w:noHBand="0" w:noVBand="1"/>
      </w:tblPr>
      <w:tblGrid>
        <w:gridCol w:w="1405"/>
        <w:gridCol w:w="1406"/>
        <w:gridCol w:w="1025"/>
        <w:gridCol w:w="1025"/>
        <w:gridCol w:w="1025"/>
        <w:gridCol w:w="1026"/>
        <w:gridCol w:w="1025"/>
        <w:gridCol w:w="1026"/>
      </w:tblGrid>
      <w:tr w:rsidR="00003A61" w:rsidRPr="00800E54" w:rsidTr="002E57E1">
        <w:tc>
          <w:tcPr>
            <w:tcW w:w="1405" w:type="dxa"/>
            <w:vMerge w:val="restart"/>
            <w:tcBorders>
              <w:left w:val="nil"/>
            </w:tcBorders>
            <w:vAlign w:val="center"/>
          </w:tcPr>
          <w:p w:rsidR="00003A61" w:rsidRPr="00800E54" w:rsidRDefault="00003A61" w:rsidP="00A51AEF">
            <w:pPr>
              <w:pStyle w:val="Tabletext"/>
              <w:rPr>
                <w:b/>
                <w:sz w:val="21"/>
                <w:szCs w:val="21"/>
              </w:rPr>
            </w:pPr>
            <w:r w:rsidRPr="00800E54">
              <w:rPr>
                <w:b/>
                <w:sz w:val="21"/>
                <w:szCs w:val="21"/>
              </w:rPr>
              <w:t>Section</w:t>
            </w:r>
          </w:p>
        </w:tc>
        <w:tc>
          <w:tcPr>
            <w:tcW w:w="1406" w:type="dxa"/>
            <w:vMerge w:val="restart"/>
            <w:vAlign w:val="center"/>
          </w:tcPr>
          <w:p w:rsidR="00003A61" w:rsidRPr="00800E54" w:rsidRDefault="00003A61" w:rsidP="00A51AEF">
            <w:pPr>
              <w:pStyle w:val="Tabletext"/>
              <w:rPr>
                <w:b/>
                <w:sz w:val="21"/>
                <w:szCs w:val="21"/>
              </w:rPr>
            </w:pPr>
            <w:r w:rsidRPr="00800E54">
              <w:rPr>
                <w:b/>
                <w:sz w:val="21"/>
                <w:szCs w:val="21"/>
              </w:rPr>
              <w:t>Subsection</w:t>
            </w:r>
          </w:p>
        </w:tc>
        <w:tc>
          <w:tcPr>
            <w:tcW w:w="1025" w:type="dxa"/>
            <w:vMerge w:val="restart"/>
            <w:vAlign w:val="center"/>
          </w:tcPr>
          <w:p w:rsidR="00003A61" w:rsidRPr="00800E54" w:rsidRDefault="00003A61" w:rsidP="00A51AEF">
            <w:pPr>
              <w:pStyle w:val="Tabletext"/>
              <w:rPr>
                <w:b/>
                <w:sz w:val="21"/>
                <w:szCs w:val="21"/>
              </w:rPr>
            </w:pPr>
            <w:r w:rsidRPr="00800E54">
              <w:rPr>
                <w:b/>
                <w:sz w:val="21"/>
                <w:szCs w:val="21"/>
              </w:rPr>
              <w:t>Question numbers</w:t>
            </w:r>
          </w:p>
        </w:tc>
        <w:tc>
          <w:tcPr>
            <w:tcW w:w="4101" w:type="dxa"/>
            <w:gridSpan w:val="4"/>
            <w:vAlign w:val="center"/>
          </w:tcPr>
          <w:p w:rsidR="00003A61" w:rsidRPr="00800E54" w:rsidRDefault="00003A61" w:rsidP="00A51AEF">
            <w:pPr>
              <w:pStyle w:val="Tabletext"/>
              <w:rPr>
                <w:b/>
                <w:sz w:val="21"/>
                <w:szCs w:val="21"/>
              </w:rPr>
            </w:pPr>
            <w:r w:rsidRPr="00800E54">
              <w:rPr>
                <w:b/>
                <w:sz w:val="21"/>
                <w:szCs w:val="21"/>
              </w:rPr>
              <w:t>Type of question</w:t>
            </w:r>
          </w:p>
        </w:tc>
        <w:tc>
          <w:tcPr>
            <w:tcW w:w="1026" w:type="dxa"/>
            <w:vMerge w:val="restart"/>
            <w:tcBorders>
              <w:right w:val="nil"/>
            </w:tcBorders>
            <w:vAlign w:val="center"/>
          </w:tcPr>
          <w:p w:rsidR="00003A61" w:rsidRPr="00800E54" w:rsidRDefault="00003A61" w:rsidP="00A51AEF">
            <w:pPr>
              <w:pStyle w:val="Tabletext"/>
              <w:rPr>
                <w:b/>
                <w:sz w:val="21"/>
                <w:szCs w:val="21"/>
              </w:rPr>
            </w:pPr>
            <w:r w:rsidRPr="00800E54">
              <w:rPr>
                <w:b/>
                <w:sz w:val="21"/>
                <w:szCs w:val="21"/>
              </w:rPr>
              <w:t>Total</w:t>
            </w:r>
          </w:p>
        </w:tc>
      </w:tr>
      <w:tr w:rsidR="00003A61" w:rsidRPr="00800E54" w:rsidTr="002E57E1">
        <w:tc>
          <w:tcPr>
            <w:tcW w:w="1405" w:type="dxa"/>
            <w:vMerge/>
            <w:tcBorders>
              <w:left w:val="nil"/>
            </w:tcBorders>
            <w:vAlign w:val="center"/>
          </w:tcPr>
          <w:p w:rsidR="00003A61" w:rsidRPr="00800E54" w:rsidRDefault="00003A61" w:rsidP="00A51AEF">
            <w:pPr>
              <w:pStyle w:val="Tabletext"/>
              <w:rPr>
                <w:b/>
                <w:sz w:val="21"/>
                <w:szCs w:val="21"/>
              </w:rPr>
            </w:pPr>
          </w:p>
        </w:tc>
        <w:tc>
          <w:tcPr>
            <w:tcW w:w="1406" w:type="dxa"/>
            <w:vMerge/>
            <w:vAlign w:val="center"/>
          </w:tcPr>
          <w:p w:rsidR="00003A61" w:rsidRPr="00800E54" w:rsidRDefault="00003A61" w:rsidP="00A51AEF">
            <w:pPr>
              <w:pStyle w:val="Tabletext"/>
              <w:rPr>
                <w:sz w:val="21"/>
                <w:szCs w:val="21"/>
              </w:rPr>
            </w:pPr>
          </w:p>
        </w:tc>
        <w:tc>
          <w:tcPr>
            <w:tcW w:w="1025" w:type="dxa"/>
            <w:vMerge/>
            <w:vAlign w:val="center"/>
          </w:tcPr>
          <w:p w:rsidR="00003A61" w:rsidRPr="00800E54" w:rsidRDefault="00003A61" w:rsidP="00A51AEF">
            <w:pPr>
              <w:pStyle w:val="Tabletext"/>
              <w:rPr>
                <w:sz w:val="21"/>
                <w:szCs w:val="21"/>
              </w:rPr>
            </w:pPr>
          </w:p>
        </w:tc>
        <w:tc>
          <w:tcPr>
            <w:tcW w:w="1025" w:type="dxa"/>
            <w:vAlign w:val="center"/>
          </w:tcPr>
          <w:p w:rsidR="00003A61" w:rsidRPr="00800E54" w:rsidRDefault="00003A61" w:rsidP="00A51AEF">
            <w:pPr>
              <w:pStyle w:val="Tabletext"/>
              <w:rPr>
                <w:i/>
                <w:sz w:val="21"/>
                <w:szCs w:val="21"/>
              </w:rPr>
            </w:pPr>
            <w:r w:rsidRPr="00800E54">
              <w:rPr>
                <w:i/>
                <w:sz w:val="21"/>
                <w:szCs w:val="21"/>
              </w:rPr>
              <w:t>Text entry</w:t>
            </w:r>
          </w:p>
        </w:tc>
        <w:tc>
          <w:tcPr>
            <w:tcW w:w="1025" w:type="dxa"/>
            <w:vAlign w:val="center"/>
          </w:tcPr>
          <w:p w:rsidR="00003A61" w:rsidRPr="00800E54" w:rsidRDefault="00003A61" w:rsidP="00A51AEF">
            <w:pPr>
              <w:pStyle w:val="Tabletext"/>
              <w:rPr>
                <w:i/>
                <w:sz w:val="21"/>
                <w:szCs w:val="21"/>
              </w:rPr>
            </w:pPr>
            <w:r w:rsidRPr="00800E54">
              <w:rPr>
                <w:i/>
                <w:sz w:val="21"/>
                <w:szCs w:val="21"/>
              </w:rPr>
              <w:t>Multiple choice, single answer</w:t>
            </w:r>
          </w:p>
        </w:tc>
        <w:tc>
          <w:tcPr>
            <w:tcW w:w="1026" w:type="dxa"/>
            <w:vAlign w:val="center"/>
          </w:tcPr>
          <w:p w:rsidR="00003A61" w:rsidRPr="00800E54" w:rsidRDefault="00003A61" w:rsidP="00A51AEF">
            <w:pPr>
              <w:pStyle w:val="Tabletext"/>
              <w:rPr>
                <w:i/>
                <w:sz w:val="21"/>
                <w:szCs w:val="21"/>
              </w:rPr>
            </w:pPr>
            <w:r w:rsidRPr="00800E54">
              <w:rPr>
                <w:i/>
                <w:sz w:val="21"/>
                <w:szCs w:val="21"/>
              </w:rPr>
              <w:t>Multiple choice, multiple answers</w:t>
            </w:r>
          </w:p>
        </w:tc>
        <w:tc>
          <w:tcPr>
            <w:tcW w:w="1025" w:type="dxa"/>
            <w:vAlign w:val="center"/>
          </w:tcPr>
          <w:p w:rsidR="00003A61" w:rsidRPr="00800E54" w:rsidRDefault="00003A61" w:rsidP="00A51AEF">
            <w:pPr>
              <w:pStyle w:val="Tabletext"/>
              <w:rPr>
                <w:i/>
                <w:sz w:val="21"/>
                <w:szCs w:val="21"/>
              </w:rPr>
            </w:pPr>
            <w:r w:rsidRPr="00800E54">
              <w:rPr>
                <w:i/>
                <w:sz w:val="21"/>
                <w:szCs w:val="21"/>
              </w:rPr>
              <w:t>Matrix Table</w:t>
            </w:r>
          </w:p>
        </w:tc>
        <w:tc>
          <w:tcPr>
            <w:tcW w:w="1026" w:type="dxa"/>
            <w:vMerge/>
            <w:tcBorders>
              <w:right w:val="nil"/>
            </w:tcBorders>
            <w:vAlign w:val="center"/>
          </w:tcPr>
          <w:p w:rsidR="00003A61" w:rsidRPr="00800E54" w:rsidRDefault="00003A61" w:rsidP="00A51AEF">
            <w:pPr>
              <w:pStyle w:val="Tabletext"/>
              <w:rPr>
                <w:sz w:val="21"/>
                <w:szCs w:val="21"/>
              </w:rPr>
            </w:pPr>
          </w:p>
        </w:tc>
      </w:tr>
      <w:tr w:rsidR="00003A61" w:rsidRPr="00800E54" w:rsidTr="002E57E1">
        <w:tc>
          <w:tcPr>
            <w:tcW w:w="1405" w:type="dxa"/>
            <w:tcBorders>
              <w:left w:val="nil"/>
            </w:tcBorders>
            <w:vAlign w:val="center"/>
          </w:tcPr>
          <w:p w:rsidR="00003A61" w:rsidRPr="00800E54" w:rsidRDefault="00003A61" w:rsidP="00A51AEF">
            <w:pPr>
              <w:pStyle w:val="Tabletext"/>
              <w:rPr>
                <w:b/>
                <w:sz w:val="21"/>
                <w:szCs w:val="21"/>
              </w:rPr>
            </w:pPr>
            <w:r w:rsidRPr="00800E54">
              <w:rPr>
                <w:b/>
                <w:sz w:val="21"/>
                <w:szCs w:val="21"/>
              </w:rPr>
              <w:t>Personal information</w:t>
            </w:r>
          </w:p>
        </w:tc>
        <w:tc>
          <w:tcPr>
            <w:tcW w:w="1406" w:type="dxa"/>
            <w:vAlign w:val="center"/>
          </w:tcPr>
          <w:p w:rsidR="00003A61" w:rsidRPr="00800E54" w:rsidRDefault="00003A61" w:rsidP="00A51AEF">
            <w:pPr>
              <w:pStyle w:val="Tabletext"/>
              <w:rPr>
                <w:sz w:val="21"/>
                <w:szCs w:val="21"/>
              </w:rPr>
            </w:pPr>
          </w:p>
        </w:tc>
        <w:tc>
          <w:tcPr>
            <w:tcW w:w="1025" w:type="dxa"/>
            <w:vAlign w:val="center"/>
          </w:tcPr>
          <w:p w:rsidR="00003A61" w:rsidRPr="00800E54" w:rsidRDefault="00003A61" w:rsidP="00A51AEF">
            <w:pPr>
              <w:pStyle w:val="Tabletext"/>
              <w:rPr>
                <w:sz w:val="21"/>
                <w:szCs w:val="21"/>
              </w:rPr>
            </w:pPr>
            <w:r w:rsidRPr="00800E54">
              <w:rPr>
                <w:sz w:val="21"/>
                <w:szCs w:val="21"/>
              </w:rPr>
              <w:t>Q1-6</w:t>
            </w:r>
          </w:p>
        </w:tc>
        <w:tc>
          <w:tcPr>
            <w:tcW w:w="1025" w:type="dxa"/>
            <w:vAlign w:val="center"/>
          </w:tcPr>
          <w:p w:rsidR="00003A61" w:rsidRPr="00800E54" w:rsidRDefault="00003A61" w:rsidP="00A51AEF">
            <w:pPr>
              <w:pStyle w:val="Tabletext"/>
              <w:rPr>
                <w:sz w:val="21"/>
                <w:szCs w:val="21"/>
              </w:rPr>
            </w:pPr>
            <w:r w:rsidRPr="00800E54">
              <w:rPr>
                <w:sz w:val="21"/>
                <w:szCs w:val="21"/>
              </w:rPr>
              <w:t>3</w:t>
            </w:r>
          </w:p>
        </w:tc>
        <w:tc>
          <w:tcPr>
            <w:tcW w:w="1025" w:type="dxa"/>
            <w:vAlign w:val="center"/>
          </w:tcPr>
          <w:p w:rsidR="00003A61" w:rsidRPr="00800E54" w:rsidRDefault="00003A61" w:rsidP="00A51AEF">
            <w:pPr>
              <w:pStyle w:val="Tabletext"/>
              <w:rPr>
                <w:sz w:val="21"/>
                <w:szCs w:val="21"/>
              </w:rPr>
            </w:pPr>
            <w:r w:rsidRPr="00800E54">
              <w:rPr>
                <w:sz w:val="21"/>
                <w:szCs w:val="21"/>
              </w:rPr>
              <w:t>2</w:t>
            </w:r>
          </w:p>
        </w:tc>
        <w:tc>
          <w:tcPr>
            <w:tcW w:w="1026" w:type="dxa"/>
            <w:vAlign w:val="center"/>
          </w:tcPr>
          <w:p w:rsidR="00003A61" w:rsidRPr="00800E54" w:rsidRDefault="00003A61" w:rsidP="00A51AEF">
            <w:pPr>
              <w:pStyle w:val="Tabletext"/>
              <w:rPr>
                <w:sz w:val="21"/>
                <w:szCs w:val="21"/>
              </w:rPr>
            </w:pPr>
            <w:r w:rsidRPr="00800E54">
              <w:rPr>
                <w:sz w:val="21"/>
                <w:szCs w:val="21"/>
              </w:rPr>
              <w:t>0</w:t>
            </w:r>
          </w:p>
        </w:tc>
        <w:tc>
          <w:tcPr>
            <w:tcW w:w="1025" w:type="dxa"/>
            <w:vAlign w:val="center"/>
          </w:tcPr>
          <w:p w:rsidR="00003A61" w:rsidRPr="00800E54" w:rsidRDefault="00003A61" w:rsidP="00A51AEF">
            <w:pPr>
              <w:pStyle w:val="Tabletext"/>
              <w:rPr>
                <w:sz w:val="21"/>
                <w:szCs w:val="21"/>
              </w:rPr>
            </w:pPr>
            <w:r w:rsidRPr="00800E54">
              <w:rPr>
                <w:sz w:val="21"/>
                <w:szCs w:val="21"/>
              </w:rPr>
              <w:t>1</w:t>
            </w:r>
          </w:p>
        </w:tc>
        <w:tc>
          <w:tcPr>
            <w:tcW w:w="1026" w:type="dxa"/>
            <w:tcBorders>
              <w:right w:val="nil"/>
            </w:tcBorders>
            <w:vAlign w:val="center"/>
          </w:tcPr>
          <w:p w:rsidR="00003A61" w:rsidRPr="00800E54" w:rsidRDefault="00003A61" w:rsidP="00A51AEF">
            <w:pPr>
              <w:pStyle w:val="Tabletext"/>
              <w:rPr>
                <w:sz w:val="21"/>
                <w:szCs w:val="21"/>
              </w:rPr>
            </w:pPr>
            <w:r w:rsidRPr="00800E54">
              <w:rPr>
                <w:sz w:val="21"/>
                <w:szCs w:val="21"/>
              </w:rPr>
              <w:t>6</w:t>
            </w:r>
          </w:p>
        </w:tc>
      </w:tr>
      <w:tr w:rsidR="00003A61" w:rsidRPr="00800E54" w:rsidTr="002E57E1">
        <w:trPr>
          <w:trHeight w:val="135"/>
        </w:trPr>
        <w:tc>
          <w:tcPr>
            <w:tcW w:w="1405" w:type="dxa"/>
            <w:vMerge w:val="restart"/>
            <w:tcBorders>
              <w:left w:val="nil"/>
            </w:tcBorders>
            <w:vAlign w:val="center"/>
          </w:tcPr>
          <w:p w:rsidR="00003A61" w:rsidRPr="00800E54" w:rsidRDefault="00003A61" w:rsidP="00A51AEF">
            <w:pPr>
              <w:pStyle w:val="Tabletext"/>
              <w:rPr>
                <w:b/>
                <w:sz w:val="21"/>
                <w:szCs w:val="21"/>
              </w:rPr>
            </w:pPr>
            <w:r w:rsidRPr="00800E54">
              <w:rPr>
                <w:b/>
                <w:sz w:val="21"/>
                <w:szCs w:val="21"/>
              </w:rPr>
              <w:t>Actual behaviour</w:t>
            </w:r>
          </w:p>
        </w:tc>
        <w:tc>
          <w:tcPr>
            <w:tcW w:w="1406" w:type="dxa"/>
            <w:vAlign w:val="center"/>
          </w:tcPr>
          <w:p w:rsidR="00003A61" w:rsidRPr="00800E54" w:rsidRDefault="00003A61" w:rsidP="00A51AEF">
            <w:pPr>
              <w:pStyle w:val="Tabletext"/>
              <w:rPr>
                <w:sz w:val="21"/>
                <w:szCs w:val="21"/>
              </w:rPr>
            </w:pPr>
            <w:r w:rsidRPr="00800E54">
              <w:rPr>
                <w:sz w:val="21"/>
                <w:szCs w:val="21"/>
              </w:rPr>
              <w:t>Trip characteristics</w:t>
            </w:r>
          </w:p>
        </w:tc>
        <w:tc>
          <w:tcPr>
            <w:tcW w:w="1025" w:type="dxa"/>
            <w:vAlign w:val="center"/>
          </w:tcPr>
          <w:p w:rsidR="00003A61" w:rsidRPr="00800E54" w:rsidRDefault="00003A61" w:rsidP="00A51AEF">
            <w:pPr>
              <w:pStyle w:val="Tabletext"/>
              <w:rPr>
                <w:sz w:val="21"/>
                <w:szCs w:val="21"/>
              </w:rPr>
            </w:pPr>
            <w:r w:rsidRPr="00800E54">
              <w:rPr>
                <w:sz w:val="21"/>
                <w:szCs w:val="21"/>
              </w:rPr>
              <w:t>Q7-16</w:t>
            </w:r>
          </w:p>
        </w:tc>
        <w:tc>
          <w:tcPr>
            <w:tcW w:w="1025" w:type="dxa"/>
            <w:vAlign w:val="center"/>
          </w:tcPr>
          <w:p w:rsidR="00003A61" w:rsidRPr="00800E54" w:rsidRDefault="00003A61" w:rsidP="00A51AEF">
            <w:pPr>
              <w:pStyle w:val="Tabletext"/>
              <w:rPr>
                <w:sz w:val="21"/>
                <w:szCs w:val="21"/>
              </w:rPr>
            </w:pPr>
            <w:r w:rsidRPr="00800E54">
              <w:rPr>
                <w:sz w:val="21"/>
                <w:szCs w:val="21"/>
              </w:rPr>
              <w:t>4</w:t>
            </w:r>
          </w:p>
        </w:tc>
        <w:tc>
          <w:tcPr>
            <w:tcW w:w="1025" w:type="dxa"/>
            <w:vAlign w:val="center"/>
          </w:tcPr>
          <w:p w:rsidR="00003A61" w:rsidRPr="00800E54" w:rsidRDefault="00003A61" w:rsidP="00A51AEF">
            <w:pPr>
              <w:pStyle w:val="Tabletext"/>
              <w:rPr>
                <w:sz w:val="21"/>
                <w:szCs w:val="21"/>
              </w:rPr>
            </w:pPr>
            <w:r w:rsidRPr="00800E54">
              <w:rPr>
                <w:sz w:val="21"/>
                <w:szCs w:val="21"/>
              </w:rPr>
              <w:t>4</w:t>
            </w:r>
          </w:p>
        </w:tc>
        <w:tc>
          <w:tcPr>
            <w:tcW w:w="1026" w:type="dxa"/>
            <w:vAlign w:val="center"/>
          </w:tcPr>
          <w:p w:rsidR="00003A61" w:rsidRPr="00800E54" w:rsidRDefault="00003A61" w:rsidP="00A51AEF">
            <w:pPr>
              <w:pStyle w:val="Tabletext"/>
              <w:rPr>
                <w:sz w:val="21"/>
                <w:szCs w:val="21"/>
              </w:rPr>
            </w:pPr>
            <w:r w:rsidRPr="00800E54">
              <w:rPr>
                <w:sz w:val="21"/>
                <w:szCs w:val="21"/>
              </w:rPr>
              <w:t>1</w:t>
            </w:r>
          </w:p>
        </w:tc>
        <w:tc>
          <w:tcPr>
            <w:tcW w:w="1025" w:type="dxa"/>
            <w:vAlign w:val="center"/>
          </w:tcPr>
          <w:p w:rsidR="00003A61" w:rsidRPr="00800E54" w:rsidRDefault="00003A61" w:rsidP="00A51AEF">
            <w:pPr>
              <w:pStyle w:val="Tabletext"/>
              <w:rPr>
                <w:sz w:val="21"/>
                <w:szCs w:val="21"/>
              </w:rPr>
            </w:pPr>
            <w:r w:rsidRPr="00800E54">
              <w:rPr>
                <w:sz w:val="21"/>
                <w:szCs w:val="21"/>
              </w:rPr>
              <w:t>1</w:t>
            </w:r>
          </w:p>
        </w:tc>
        <w:tc>
          <w:tcPr>
            <w:tcW w:w="1026" w:type="dxa"/>
            <w:tcBorders>
              <w:right w:val="nil"/>
            </w:tcBorders>
            <w:vAlign w:val="center"/>
          </w:tcPr>
          <w:p w:rsidR="00003A61" w:rsidRPr="00800E54" w:rsidRDefault="00003A61" w:rsidP="00A51AEF">
            <w:pPr>
              <w:pStyle w:val="Tabletext"/>
              <w:rPr>
                <w:sz w:val="21"/>
                <w:szCs w:val="21"/>
              </w:rPr>
            </w:pPr>
            <w:r w:rsidRPr="00800E54">
              <w:rPr>
                <w:sz w:val="21"/>
                <w:szCs w:val="21"/>
              </w:rPr>
              <w:t>10</w:t>
            </w:r>
          </w:p>
        </w:tc>
      </w:tr>
      <w:tr w:rsidR="00003A61" w:rsidRPr="00800E54" w:rsidTr="002E57E1">
        <w:tc>
          <w:tcPr>
            <w:tcW w:w="1405" w:type="dxa"/>
            <w:vMerge/>
            <w:tcBorders>
              <w:left w:val="nil"/>
            </w:tcBorders>
            <w:vAlign w:val="center"/>
          </w:tcPr>
          <w:p w:rsidR="00003A61" w:rsidRPr="00800E54" w:rsidRDefault="00003A61" w:rsidP="00A51AEF">
            <w:pPr>
              <w:pStyle w:val="Tabletext"/>
              <w:rPr>
                <w:b/>
                <w:sz w:val="21"/>
                <w:szCs w:val="21"/>
              </w:rPr>
            </w:pPr>
          </w:p>
        </w:tc>
        <w:tc>
          <w:tcPr>
            <w:tcW w:w="1406" w:type="dxa"/>
            <w:vAlign w:val="center"/>
          </w:tcPr>
          <w:p w:rsidR="00003A61" w:rsidRPr="00800E54" w:rsidRDefault="00003A61" w:rsidP="00A51AEF">
            <w:pPr>
              <w:pStyle w:val="Tabletext"/>
              <w:rPr>
                <w:sz w:val="21"/>
                <w:szCs w:val="21"/>
              </w:rPr>
            </w:pPr>
            <w:r w:rsidRPr="00800E54">
              <w:rPr>
                <w:sz w:val="21"/>
                <w:szCs w:val="21"/>
              </w:rPr>
              <w:t>Available information</w:t>
            </w:r>
          </w:p>
        </w:tc>
        <w:tc>
          <w:tcPr>
            <w:tcW w:w="1025" w:type="dxa"/>
            <w:vAlign w:val="center"/>
          </w:tcPr>
          <w:p w:rsidR="00003A61" w:rsidRPr="00800E54" w:rsidRDefault="00003A61" w:rsidP="00A51AEF">
            <w:pPr>
              <w:pStyle w:val="Tabletext"/>
              <w:rPr>
                <w:sz w:val="21"/>
                <w:szCs w:val="21"/>
              </w:rPr>
            </w:pPr>
            <w:r w:rsidRPr="00800E54">
              <w:rPr>
                <w:sz w:val="21"/>
                <w:szCs w:val="21"/>
              </w:rPr>
              <w:t>Q17-20</w:t>
            </w:r>
          </w:p>
        </w:tc>
        <w:tc>
          <w:tcPr>
            <w:tcW w:w="1025" w:type="dxa"/>
            <w:vAlign w:val="center"/>
          </w:tcPr>
          <w:p w:rsidR="00003A61" w:rsidRPr="00800E54" w:rsidRDefault="00003A61" w:rsidP="00A51AEF">
            <w:pPr>
              <w:pStyle w:val="Tabletext"/>
              <w:rPr>
                <w:sz w:val="21"/>
                <w:szCs w:val="21"/>
              </w:rPr>
            </w:pPr>
            <w:r w:rsidRPr="00800E54">
              <w:rPr>
                <w:sz w:val="21"/>
                <w:szCs w:val="21"/>
              </w:rPr>
              <w:t>0</w:t>
            </w:r>
          </w:p>
        </w:tc>
        <w:tc>
          <w:tcPr>
            <w:tcW w:w="1025" w:type="dxa"/>
            <w:vAlign w:val="center"/>
          </w:tcPr>
          <w:p w:rsidR="00003A61" w:rsidRPr="00800E54" w:rsidRDefault="00003A61" w:rsidP="00A51AEF">
            <w:pPr>
              <w:pStyle w:val="Tabletext"/>
              <w:rPr>
                <w:sz w:val="21"/>
                <w:szCs w:val="21"/>
              </w:rPr>
            </w:pPr>
            <w:r w:rsidRPr="00800E54">
              <w:rPr>
                <w:sz w:val="21"/>
                <w:szCs w:val="21"/>
              </w:rPr>
              <w:t>3</w:t>
            </w:r>
          </w:p>
        </w:tc>
        <w:tc>
          <w:tcPr>
            <w:tcW w:w="1026" w:type="dxa"/>
            <w:vAlign w:val="center"/>
          </w:tcPr>
          <w:p w:rsidR="00003A61" w:rsidRPr="00800E54" w:rsidRDefault="00003A61" w:rsidP="00A51AEF">
            <w:pPr>
              <w:pStyle w:val="Tabletext"/>
              <w:rPr>
                <w:sz w:val="21"/>
                <w:szCs w:val="21"/>
              </w:rPr>
            </w:pPr>
            <w:r w:rsidRPr="00800E54">
              <w:rPr>
                <w:sz w:val="21"/>
                <w:szCs w:val="21"/>
              </w:rPr>
              <w:t>1</w:t>
            </w:r>
          </w:p>
        </w:tc>
        <w:tc>
          <w:tcPr>
            <w:tcW w:w="1025" w:type="dxa"/>
            <w:vAlign w:val="center"/>
          </w:tcPr>
          <w:p w:rsidR="00003A61" w:rsidRPr="00800E54" w:rsidRDefault="00003A61" w:rsidP="00A51AEF">
            <w:pPr>
              <w:pStyle w:val="Tabletext"/>
              <w:rPr>
                <w:sz w:val="21"/>
                <w:szCs w:val="21"/>
              </w:rPr>
            </w:pPr>
            <w:r w:rsidRPr="00800E54">
              <w:rPr>
                <w:sz w:val="21"/>
                <w:szCs w:val="21"/>
              </w:rPr>
              <w:t>0</w:t>
            </w:r>
          </w:p>
        </w:tc>
        <w:tc>
          <w:tcPr>
            <w:tcW w:w="1026" w:type="dxa"/>
            <w:tcBorders>
              <w:right w:val="nil"/>
            </w:tcBorders>
            <w:vAlign w:val="center"/>
          </w:tcPr>
          <w:p w:rsidR="00003A61" w:rsidRPr="00800E54" w:rsidRDefault="00003A61" w:rsidP="00A51AEF">
            <w:pPr>
              <w:pStyle w:val="Tabletext"/>
              <w:rPr>
                <w:sz w:val="21"/>
                <w:szCs w:val="21"/>
              </w:rPr>
            </w:pPr>
            <w:r w:rsidRPr="00800E54">
              <w:rPr>
                <w:sz w:val="21"/>
                <w:szCs w:val="21"/>
              </w:rPr>
              <w:t>4</w:t>
            </w:r>
          </w:p>
        </w:tc>
      </w:tr>
      <w:tr w:rsidR="00003A61" w:rsidRPr="00800E54" w:rsidTr="002E57E1">
        <w:tc>
          <w:tcPr>
            <w:tcW w:w="1405" w:type="dxa"/>
            <w:vMerge/>
            <w:tcBorders>
              <w:left w:val="nil"/>
            </w:tcBorders>
            <w:vAlign w:val="center"/>
          </w:tcPr>
          <w:p w:rsidR="00003A61" w:rsidRPr="00800E54" w:rsidRDefault="00003A61" w:rsidP="00A51AEF">
            <w:pPr>
              <w:pStyle w:val="Tabletext"/>
              <w:rPr>
                <w:b/>
                <w:sz w:val="21"/>
                <w:szCs w:val="21"/>
              </w:rPr>
            </w:pPr>
          </w:p>
        </w:tc>
        <w:tc>
          <w:tcPr>
            <w:tcW w:w="1406" w:type="dxa"/>
            <w:vAlign w:val="center"/>
          </w:tcPr>
          <w:p w:rsidR="00003A61" w:rsidRPr="00800E54" w:rsidRDefault="00003A61" w:rsidP="00A51AEF">
            <w:pPr>
              <w:pStyle w:val="Tabletext"/>
              <w:rPr>
                <w:sz w:val="21"/>
                <w:szCs w:val="21"/>
              </w:rPr>
            </w:pPr>
            <w:r w:rsidRPr="00800E54">
              <w:rPr>
                <w:sz w:val="21"/>
                <w:szCs w:val="21"/>
              </w:rPr>
              <w:t>Choice flexibility</w:t>
            </w:r>
          </w:p>
        </w:tc>
        <w:tc>
          <w:tcPr>
            <w:tcW w:w="1025" w:type="dxa"/>
            <w:vAlign w:val="center"/>
          </w:tcPr>
          <w:p w:rsidR="00003A61" w:rsidRPr="00800E54" w:rsidRDefault="00003A61" w:rsidP="00A51AEF">
            <w:pPr>
              <w:pStyle w:val="Tabletext"/>
              <w:rPr>
                <w:sz w:val="21"/>
                <w:szCs w:val="21"/>
              </w:rPr>
            </w:pPr>
            <w:r w:rsidRPr="00800E54">
              <w:rPr>
                <w:sz w:val="21"/>
                <w:szCs w:val="21"/>
              </w:rPr>
              <w:t>Q21-28</w:t>
            </w:r>
          </w:p>
        </w:tc>
        <w:tc>
          <w:tcPr>
            <w:tcW w:w="1025" w:type="dxa"/>
            <w:vAlign w:val="center"/>
          </w:tcPr>
          <w:p w:rsidR="00003A61" w:rsidRPr="00800E54" w:rsidRDefault="00003A61" w:rsidP="00A51AEF">
            <w:pPr>
              <w:pStyle w:val="Tabletext"/>
              <w:rPr>
                <w:sz w:val="21"/>
                <w:szCs w:val="21"/>
              </w:rPr>
            </w:pPr>
            <w:r w:rsidRPr="00800E54">
              <w:rPr>
                <w:sz w:val="21"/>
                <w:szCs w:val="21"/>
              </w:rPr>
              <w:t>0</w:t>
            </w:r>
          </w:p>
        </w:tc>
        <w:tc>
          <w:tcPr>
            <w:tcW w:w="1025" w:type="dxa"/>
            <w:vAlign w:val="center"/>
          </w:tcPr>
          <w:p w:rsidR="00003A61" w:rsidRPr="00800E54" w:rsidRDefault="00003A61" w:rsidP="00A51AEF">
            <w:pPr>
              <w:pStyle w:val="Tabletext"/>
              <w:rPr>
                <w:sz w:val="21"/>
                <w:szCs w:val="21"/>
              </w:rPr>
            </w:pPr>
            <w:r w:rsidRPr="00800E54">
              <w:rPr>
                <w:sz w:val="21"/>
                <w:szCs w:val="21"/>
              </w:rPr>
              <w:t>4</w:t>
            </w:r>
          </w:p>
        </w:tc>
        <w:tc>
          <w:tcPr>
            <w:tcW w:w="1026" w:type="dxa"/>
            <w:vAlign w:val="center"/>
          </w:tcPr>
          <w:p w:rsidR="00003A61" w:rsidRPr="00800E54" w:rsidRDefault="00003A61" w:rsidP="00A51AEF">
            <w:pPr>
              <w:pStyle w:val="Tabletext"/>
              <w:rPr>
                <w:sz w:val="21"/>
                <w:szCs w:val="21"/>
              </w:rPr>
            </w:pPr>
            <w:r w:rsidRPr="00800E54">
              <w:rPr>
                <w:sz w:val="21"/>
                <w:szCs w:val="21"/>
              </w:rPr>
              <w:t>4</w:t>
            </w:r>
          </w:p>
        </w:tc>
        <w:tc>
          <w:tcPr>
            <w:tcW w:w="1025" w:type="dxa"/>
            <w:vAlign w:val="center"/>
          </w:tcPr>
          <w:p w:rsidR="00003A61" w:rsidRPr="00800E54" w:rsidRDefault="00003A61" w:rsidP="00A51AEF">
            <w:pPr>
              <w:pStyle w:val="Tabletext"/>
              <w:rPr>
                <w:sz w:val="21"/>
                <w:szCs w:val="21"/>
              </w:rPr>
            </w:pPr>
            <w:r w:rsidRPr="00800E54">
              <w:rPr>
                <w:sz w:val="21"/>
                <w:szCs w:val="21"/>
              </w:rPr>
              <w:t>0</w:t>
            </w:r>
          </w:p>
        </w:tc>
        <w:tc>
          <w:tcPr>
            <w:tcW w:w="1026" w:type="dxa"/>
            <w:tcBorders>
              <w:right w:val="nil"/>
            </w:tcBorders>
            <w:vAlign w:val="center"/>
          </w:tcPr>
          <w:p w:rsidR="00003A61" w:rsidRPr="00800E54" w:rsidRDefault="00003A61" w:rsidP="00A51AEF">
            <w:pPr>
              <w:pStyle w:val="Tabletext"/>
              <w:rPr>
                <w:sz w:val="21"/>
                <w:szCs w:val="21"/>
              </w:rPr>
            </w:pPr>
            <w:r w:rsidRPr="00800E54">
              <w:rPr>
                <w:sz w:val="21"/>
                <w:szCs w:val="21"/>
              </w:rPr>
              <w:t>8</w:t>
            </w:r>
          </w:p>
        </w:tc>
      </w:tr>
      <w:tr w:rsidR="00003A61" w:rsidRPr="00800E54" w:rsidTr="002E57E1">
        <w:tc>
          <w:tcPr>
            <w:tcW w:w="1405" w:type="dxa"/>
            <w:vMerge w:val="restart"/>
            <w:tcBorders>
              <w:left w:val="nil"/>
            </w:tcBorders>
            <w:vAlign w:val="center"/>
          </w:tcPr>
          <w:p w:rsidR="00003A61" w:rsidRPr="00800E54" w:rsidRDefault="00003A61" w:rsidP="00A51AEF">
            <w:pPr>
              <w:pStyle w:val="Tabletext"/>
              <w:rPr>
                <w:b/>
                <w:sz w:val="21"/>
                <w:szCs w:val="21"/>
              </w:rPr>
            </w:pPr>
            <w:r w:rsidRPr="00800E54">
              <w:rPr>
                <w:b/>
                <w:sz w:val="21"/>
                <w:szCs w:val="21"/>
              </w:rPr>
              <w:t>Hypothetical route choice scenarios</w:t>
            </w:r>
          </w:p>
        </w:tc>
        <w:tc>
          <w:tcPr>
            <w:tcW w:w="1406" w:type="dxa"/>
            <w:vAlign w:val="center"/>
          </w:tcPr>
          <w:p w:rsidR="00003A61" w:rsidRPr="00800E54" w:rsidRDefault="00003A61" w:rsidP="00A51AEF">
            <w:pPr>
              <w:pStyle w:val="Tabletext"/>
              <w:rPr>
                <w:sz w:val="21"/>
                <w:szCs w:val="21"/>
              </w:rPr>
            </w:pPr>
            <w:r w:rsidRPr="00800E54">
              <w:rPr>
                <w:sz w:val="21"/>
                <w:szCs w:val="21"/>
              </w:rPr>
              <w:t>(Route choice strategy)</w:t>
            </w:r>
          </w:p>
        </w:tc>
        <w:tc>
          <w:tcPr>
            <w:tcW w:w="1025" w:type="dxa"/>
            <w:vAlign w:val="center"/>
          </w:tcPr>
          <w:p w:rsidR="00003A61" w:rsidRPr="00800E54" w:rsidRDefault="00003A61" w:rsidP="00A51AEF">
            <w:pPr>
              <w:pStyle w:val="Tabletext"/>
              <w:rPr>
                <w:sz w:val="21"/>
                <w:szCs w:val="21"/>
              </w:rPr>
            </w:pPr>
            <w:r w:rsidRPr="00800E54">
              <w:rPr>
                <w:sz w:val="21"/>
                <w:szCs w:val="21"/>
              </w:rPr>
              <w:t>Q29-Q34</w:t>
            </w:r>
          </w:p>
        </w:tc>
        <w:tc>
          <w:tcPr>
            <w:tcW w:w="1025" w:type="dxa"/>
            <w:vAlign w:val="center"/>
          </w:tcPr>
          <w:p w:rsidR="00003A61" w:rsidRPr="00800E54" w:rsidRDefault="00003A61" w:rsidP="00A51AEF">
            <w:pPr>
              <w:pStyle w:val="Tabletext"/>
              <w:rPr>
                <w:sz w:val="21"/>
                <w:szCs w:val="21"/>
              </w:rPr>
            </w:pPr>
            <w:r w:rsidRPr="00800E54">
              <w:rPr>
                <w:sz w:val="21"/>
                <w:szCs w:val="21"/>
              </w:rPr>
              <w:t>0</w:t>
            </w:r>
          </w:p>
        </w:tc>
        <w:tc>
          <w:tcPr>
            <w:tcW w:w="1025" w:type="dxa"/>
            <w:vAlign w:val="center"/>
          </w:tcPr>
          <w:p w:rsidR="00003A61" w:rsidRPr="00800E54" w:rsidRDefault="00003A61" w:rsidP="00A51AEF">
            <w:pPr>
              <w:pStyle w:val="Tabletext"/>
              <w:rPr>
                <w:sz w:val="21"/>
                <w:szCs w:val="21"/>
              </w:rPr>
            </w:pPr>
            <w:r w:rsidRPr="00800E54">
              <w:rPr>
                <w:sz w:val="21"/>
                <w:szCs w:val="21"/>
              </w:rPr>
              <w:t>5</w:t>
            </w:r>
          </w:p>
        </w:tc>
        <w:tc>
          <w:tcPr>
            <w:tcW w:w="1026" w:type="dxa"/>
            <w:vAlign w:val="center"/>
          </w:tcPr>
          <w:p w:rsidR="00003A61" w:rsidRPr="00800E54" w:rsidRDefault="00003A61" w:rsidP="00A51AEF">
            <w:pPr>
              <w:pStyle w:val="Tabletext"/>
              <w:rPr>
                <w:sz w:val="21"/>
                <w:szCs w:val="21"/>
              </w:rPr>
            </w:pPr>
            <w:r w:rsidRPr="00800E54">
              <w:rPr>
                <w:sz w:val="21"/>
                <w:szCs w:val="21"/>
              </w:rPr>
              <w:t>0</w:t>
            </w:r>
          </w:p>
        </w:tc>
        <w:tc>
          <w:tcPr>
            <w:tcW w:w="1025" w:type="dxa"/>
            <w:vAlign w:val="center"/>
          </w:tcPr>
          <w:p w:rsidR="00003A61" w:rsidRPr="00800E54" w:rsidRDefault="00003A61" w:rsidP="00A51AEF">
            <w:pPr>
              <w:pStyle w:val="Tabletext"/>
              <w:rPr>
                <w:sz w:val="21"/>
                <w:szCs w:val="21"/>
              </w:rPr>
            </w:pPr>
            <w:r w:rsidRPr="00800E54">
              <w:rPr>
                <w:sz w:val="21"/>
                <w:szCs w:val="21"/>
              </w:rPr>
              <w:t>1</w:t>
            </w:r>
          </w:p>
        </w:tc>
        <w:tc>
          <w:tcPr>
            <w:tcW w:w="1026" w:type="dxa"/>
            <w:tcBorders>
              <w:right w:val="nil"/>
            </w:tcBorders>
            <w:vAlign w:val="center"/>
          </w:tcPr>
          <w:p w:rsidR="00003A61" w:rsidRPr="00800E54" w:rsidRDefault="00003A61" w:rsidP="00A51AEF">
            <w:pPr>
              <w:pStyle w:val="Tabletext"/>
              <w:rPr>
                <w:sz w:val="21"/>
                <w:szCs w:val="21"/>
              </w:rPr>
            </w:pPr>
            <w:r w:rsidRPr="00800E54">
              <w:rPr>
                <w:sz w:val="21"/>
                <w:szCs w:val="21"/>
              </w:rPr>
              <w:t>8</w:t>
            </w:r>
          </w:p>
        </w:tc>
      </w:tr>
      <w:tr w:rsidR="00003A61" w:rsidRPr="00800E54" w:rsidTr="002E57E1">
        <w:tc>
          <w:tcPr>
            <w:tcW w:w="1405" w:type="dxa"/>
            <w:vMerge/>
            <w:tcBorders>
              <w:left w:val="nil"/>
            </w:tcBorders>
            <w:vAlign w:val="center"/>
          </w:tcPr>
          <w:p w:rsidR="00003A61" w:rsidRPr="00800E54" w:rsidRDefault="00003A61" w:rsidP="00A51AEF">
            <w:pPr>
              <w:pStyle w:val="Tabletext"/>
              <w:rPr>
                <w:b/>
                <w:sz w:val="21"/>
                <w:szCs w:val="21"/>
              </w:rPr>
            </w:pPr>
          </w:p>
        </w:tc>
        <w:tc>
          <w:tcPr>
            <w:tcW w:w="1406" w:type="dxa"/>
            <w:vAlign w:val="center"/>
          </w:tcPr>
          <w:p w:rsidR="00003A61" w:rsidRPr="00800E54" w:rsidRDefault="00003A61" w:rsidP="00A51AEF">
            <w:pPr>
              <w:pStyle w:val="Tabletext"/>
              <w:rPr>
                <w:sz w:val="21"/>
                <w:szCs w:val="21"/>
              </w:rPr>
            </w:pPr>
            <w:r w:rsidRPr="00800E54">
              <w:rPr>
                <w:sz w:val="21"/>
                <w:szCs w:val="21"/>
              </w:rPr>
              <w:t>(Reliability)</w:t>
            </w:r>
          </w:p>
        </w:tc>
        <w:tc>
          <w:tcPr>
            <w:tcW w:w="1025" w:type="dxa"/>
            <w:vAlign w:val="center"/>
          </w:tcPr>
          <w:p w:rsidR="00003A61" w:rsidRPr="00800E54" w:rsidRDefault="00003A61" w:rsidP="00A51AEF">
            <w:pPr>
              <w:pStyle w:val="Tabletext"/>
              <w:rPr>
                <w:sz w:val="21"/>
                <w:szCs w:val="21"/>
              </w:rPr>
            </w:pPr>
            <w:r w:rsidRPr="00800E54">
              <w:rPr>
                <w:sz w:val="21"/>
                <w:szCs w:val="21"/>
              </w:rPr>
              <w:t>Q35-36</w:t>
            </w:r>
          </w:p>
        </w:tc>
        <w:tc>
          <w:tcPr>
            <w:tcW w:w="1025" w:type="dxa"/>
            <w:vAlign w:val="center"/>
          </w:tcPr>
          <w:p w:rsidR="00003A61" w:rsidRPr="00800E54" w:rsidRDefault="00003A61" w:rsidP="00A51AEF">
            <w:pPr>
              <w:pStyle w:val="Tabletext"/>
              <w:rPr>
                <w:sz w:val="21"/>
                <w:szCs w:val="21"/>
              </w:rPr>
            </w:pPr>
            <w:r w:rsidRPr="00800E54">
              <w:rPr>
                <w:sz w:val="21"/>
                <w:szCs w:val="21"/>
              </w:rPr>
              <w:t>0</w:t>
            </w:r>
          </w:p>
        </w:tc>
        <w:tc>
          <w:tcPr>
            <w:tcW w:w="1025" w:type="dxa"/>
            <w:vAlign w:val="center"/>
          </w:tcPr>
          <w:p w:rsidR="00003A61" w:rsidRPr="00800E54" w:rsidRDefault="00003A61" w:rsidP="00A51AEF">
            <w:pPr>
              <w:pStyle w:val="Tabletext"/>
              <w:rPr>
                <w:sz w:val="21"/>
                <w:szCs w:val="21"/>
              </w:rPr>
            </w:pPr>
            <w:r w:rsidRPr="00800E54">
              <w:rPr>
                <w:sz w:val="21"/>
                <w:szCs w:val="21"/>
              </w:rPr>
              <w:t>2</w:t>
            </w:r>
          </w:p>
        </w:tc>
        <w:tc>
          <w:tcPr>
            <w:tcW w:w="1026" w:type="dxa"/>
            <w:vAlign w:val="center"/>
          </w:tcPr>
          <w:p w:rsidR="00003A61" w:rsidRPr="00800E54" w:rsidRDefault="00003A61" w:rsidP="00A51AEF">
            <w:pPr>
              <w:pStyle w:val="Tabletext"/>
              <w:rPr>
                <w:sz w:val="21"/>
                <w:szCs w:val="21"/>
              </w:rPr>
            </w:pPr>
            <w:r w:rsidRPr="00800E54">
              <w:rPr>
                <w:sz w:val="21"/>
                <w:szCs w:val="21"/>
              </w:rPr>
              <w:t>0</w:t>
            </w:r>
          </w:p>
        </w:tc>
        <w:tc>
          <w:tcPr>
            <w:tcW w:w="1025" w:type="dxa"/>
            <w:vAlign w:val="center"/>
          </w:tcPr>
          <w:p w:rsidR="00003A61" w:rsidRPr="00800E54" w:rsidRDefault="00003A61" w:rsidP="00A51AEF">
            <w:pPr>
              <w:pStyle w:val="Tabletext"/>
              <w:rPr>
                <w:sz w:val="21"/>
                <w:szCs w:val="21"/>
              </w:rPr>
            </w:pPr>
            <w:r w:rsidRPr="00800E54">
              <w:rPr>
                <w:sz w:val="21"/>
                <w:szCs w:val="21"/>
              </w:rPr>
              <w:t>0</w:t>
            </w:r>
          </w:p>
        </w:tc>
        <w:tc>
          <w:tcPr>
            <w:tcW w:w="1026" w:type="dxa"/>
            <w:tcBorders>
              <w:right w:val="nil"/>
            </w:tcBorders>
            <w:vAlign w:val="center"/>
          </w:tcPr>
          <w:p w:rsidR="00003A61" w:rsidRPr="00800E54" w:rsidRDefault="00003A61" w:rsidP="00A51AEF">
            <w:pPr>
              <w:pStyle w:val="Tabletext"/>
              <w:rPr>
                <w:sz w:val="21"/>
                <w:szCs w:val="21"/>
              </w:rPr>
            </w:pPr>
            <w:r w:rsidRPr="00800E54">
              <w:rPr>
                <w:sz w:val="21"/>
                <w:szCs w:val="21"/>
              </w:rPr>
              <w:t>2</w:t>
            </w:r>
          </w:p>
        </w:tc>
      </w:tr>
      <w:tr w:rsidR="00003A61" w:rsidRPr="00800E54" w:rsidTr="002E57E1">
        <w:tc>
          <w:tcPr>
            <w:tcW w:w="1405" w:type="dxa"/>
            <w:tcBorders>
              <w:left w:val="nil"/>
            </w:tcBorders>
            <w:vAlign w:val="center"/>
          </w:tcPr>
          <w:p w:rsidR="00003A61" w:rsidRPr="00800E54" w:rsidRDefault="00003A61" w:rsidP="00A51AEF">
            <w:pPr>
              <w:pStyle w:val="Tabletext"/>
              <w:rPr>
                <w:b/>
                <w:sz w:val="21"/>
                <w:szCs w:val="21"/>
              </w:rPr>
            </w:pPr>
            <w:r w:rsidRPr="00800E54">
              <w:rPr>
                <w:b/>
                <w:sz w:val="21"/>
                <w:szCs w:val="21"/>
              </w:rPr>
              <w:t>Total</w:t>
            </w:r>
          </w:p>
        </w:tc>
        <w:tc>
          <w:tcPr>
            <w:tcW w:w="1406" w:type="dxa"/>
            <w:vAlign w:val="center"/>
          </w:tcPr>
          <w:p w:rsidR="00003A61" w:rsidRPr="00800E54" w:rsidRDefault="00003A61" w:rsidP="00A51AEF">
            <w:pPr>
              <w:pStyle w:val="Tabletext"/>
              <w:rPr>
                <w:sz w:val="21"/>
                <w:szCs w:val="21"/>
              </w:rPr>
            </w:pPr>
          </w:p>
        </w:tc>
        <w:tc>
          <w:tcPr>
            <w:tcW w:w="1025" w:type="dxa"/>
            <w:vAlign w:val="center"/>
          </w:tcPr>
          <w:p w:rsidR="00003A61" w:rsidRPr="00800E54" w:rsidRDefault="00003A61" w:rsidP="00A51AEF">
            <w:pPr>
              <w:pStyle w:val="Tabletext"/>
              <w:rPr>
                <w:sz w:val="21"/>
                <w:szCs w:val="21"/>
              </w:rPr>
            </w:pPr>
          </w:p>
        </w:tc>
        <w:tc>
          <w:tcPr>
            <w:tcW w:w="1025" w:type="dxa"/>
            <w:vAlign w:val="center"/>
          </w:tcPr>
          <w:p w:rsidR="00003A61" w:rsidRPr="00800E54" w:rsidRDefault="007A6D31" w:rsidP="00A51AEF">
            <w:pPr>
              <w:pStyle w:val="Tabletext"/>
              <w:rPr>
                <w:sz w:val="21"/>
                <w:szCs w:val="21"/>
              </w:rPr>
            </w:pPr>
            <w:r w:rsidRPr="00800E54">
              <w:rPr>
                <w:rFonts w:eastAsiaTheme="minorEastAsia"/>
                <w:kern w:val="2"/>
                <w:sz w:val="21"/>
                <w:szCs w:val="21"/>
                <w:lang w:eastAsia="ja-JP"/>
              </w:rPr>
              <w:fldChar w:fldCharType="begin"/>
            </w:r>
            <w:r w:rsidR="00003A61" w:rsidRPr="00800E54">
              <w:rPr>
                <w:sz w:val="21"/>
                <w:szCs w:val="21"/>
              </w:rPr>
              <w:instrText xml:space="preserve"> =SUM(ABOVE) </w:instrText>
            </w:r>
            <w:r w:rsidRPr="00800E54">
              <w:rPr>
                <w:rFonts w:eastAsiaTheme="minorEastAsia"/>
                <w:kern w:val="2"/>
                <w:sz w:val="21"/>
                <w:szCs w:val="21"/>
                <w:lang w:eastAsia="ja-JP"/>
              </w:rPr>
              <w:fldChar w:fldCharType="separate"/>
            </w:r>
            <w:r w:rsidR="00003A61" w:rsidRPr="00800E54">
              <w:rPr>
                <w:noProof/>
                <w:sz w:val="21"/>
                <w:szCs w:val="21"/>
              </w:rPr>
              <w:t>7</w:t>
            </w:r>
            <w:r w:rsidRPr="00800E54">
              <w:rPr>
                <w:rFonts w:eastAsiaTheme="minorEastAsia"/>
                <w:kern w:val="2"/>
                <w:sz w:val="21"/>
                <w:szCs w:val="21"/>
                <w:lang w:eastAsia="ja-JP"/>
              </w:rPr>
              <w:fldChar w:fldCharType="end"/>
            </w:r>
          </w:p>
        </w:tc>
        <w:tc>
          <w:tcPr>
            <w:tcW w:w="1025" w:type="dxa"/>
            <w:vAlign w:val="center"/>
          </w:tcPr>
          <w:p w:rsidR="00003A61" w:rsidRPr="00800E54" w:rsidRDefault="007A6D31" w:rsidP="00A51AEF">
            <w:pPr>
              <w:pStyle w:val="Tabletext"/>
              <w:rPr>
                <w:sz w:val="21"/>
                <w:szCs w:val="21"/>
              </w:rPr>
            </w:pPr>
            <w:r w:rsidRPr="00800E54">
              <w:rPr>
                <w:rFonts w:eastAsiaTheme="minorEastAsia"/>
                <w:kern w:val="2"/>
                <w:sz w:val="21"/>
                <w:szCs w:val="21"/>
                <w:lang w:eastAsia="ja-JP"/>
              </w:rPr>
              <w:fldChar w:fldCharType="begin"/>
            </w:r>
            <w:r w:rsidR="00003A61" w:rsidRPr="00800E54">
              <w:rPr>
                <w:sz w:val="21"/>
                <w:szCs w:val="21"/>
              </w:rPr>
              <w:instrText xml:space="preserve"> =SUM(ABOVE) </w:instrText>
            </w:r>
            <w:r w:rsidRPr="00800E54">
              <w:rPr>
                <w:rFonts w:eastAsiaTheme="minorEastAsia"/>
                <w:kern w:val="2"/>
                <w:sz w:val="21"/>
                <w:szCs w:val="21"/>
                <w:lang w:eastAsia="ja-JP"/>
              </w:rPr>
              <w:fldChar w:fldCharType="separate"/>
            </w:r>
            <w:r w:rsidR="00003A61" w:rsidRPr="00800E54">
              <w:rPr>
                <w:noProof/>
                <w:sz w:val="21"/>
                <w:szCs w:val="21"/>
              </w:rPr>
              <w:t>20</w:t>
            </w:r>
            <w:r w:rsidRPr="00800E54">
              <w:rPr>
                <w:rFonts w:eastAsiaTheme="minorEastAsia"/>
                <w:kern w:val="2"/>
                <w:sz w:val="21"/>
                <w:szCs w:val="21"/>
                <w:lang w:eastAsia="ja-JP"/>
              </w:rPr>
              <w:fldChar w:fldCharType="end"/>
            </w:r>
          </w:p>
        </w:tc>
        <w:tc>
          <w:tcPr>
            <w:tcW w:w="1026" w:type="dxa"/>
            <w:vAlign w:val="center"/>
          </w:tcPr>
          <w:p w:rsidR="00003A61" w:rsidRPr="00800E54" w:rsidRDefault="007A6D31" w:rsidP="00A51AEF">
            <w:pPr>
              <w:pStyle w:val="Tabletext"/>
              <w:rPr>
                <w:sz w:val="21"/>
                <w:szCs w:val="21"/>
              </w:rPr>
            </w:pPr>
            <w:r w:rsidRPr="00800E54">
              <w:rPr>
                <w:rFonts w:eastAsiaTheme="minorEastAsia"/>
                <w:kern w:val="2"/>
                <w:sz w:val="21"/>
                <w:szCs w:val="21"/>
                <w:lang w:eastAsia="ja-JP"/>
              </w:rPr>
              <w:fldChar w:fldCharType="begin"/>
            </w:r>
            <w:r w:rsidR="00003A61" w:rsidRPr="00800E54">
              <w:rPr>
                <w:sz w:val="21"/>
                <w:szCs w:val="21"/>
              </w:rPr>
              <w:instrText xml:space="preserve"> =SUM(ABOVE) </w:instrText>
            </w:r>
            <w:r w:rsidRPr="00800E54">
              <w:rPr>
                <w:rFonts w:eastAsiaTheme="minorEastAsia"/>
                <w:kern w:val="2"/>
                <w:sz w:val="21"/>
                <w:szCs w:val="21"/>
                <w:lang w:eastAsia="ja-JP"/>
              </w:rPr>
              <w:fldChar w:fldCharType="separate"/>
            </w:r>
            <w:r w:rsidR="00003A61" w:rsidRPr="00800E54">
              <w:rPr>
                <w:noProof/>
                <w:sz w:val="21"/>
                <w:szCs w:val="21"/>
              </w:rPr>
              <w:t>6</w:t>
            </w:r>
            <w:r w:rsidRPr="00800E54">
              <w:rPr>
                <w:rFonts w:eastAsiaTheme="minorEastAsia"/>
                <w:kern w:val="2"/>
                <w:sz w:val="21"/>
                <w:szCs w:val="21"/>
                <w:lang w:eastAsia="ja-JP"/>
              </w:rPr>
              <w:fldChar w:fldCharType="end"/>
            </w:r>
          </w:p>
        </w:tc>
        <w:tc>
          <w:tcPr>
            <w:tcW w:w="1025" w:type="dxa"/>
            <w:vAlign w:val="center"/>
          </w:tcPr>
          <w:p w:rsidR="00003A61" w:rsidRPr="00800E54" w:rsidRDefault="007A6D31" w:rsidP="00A51AEF">
            <w:pPr>
              <w:pStyle w:val="Tabletext"/>
              <w:rPr>
                <w:sz w:val="21"/>
                <w:szCs w:val="21"/>
              </w:rPr>
            </w:pPr>
            <w:r w:rsidRPr="00800E54">
              <w:rPr>
                <w:rFonts w:eastAsiaTheme="minorEastAsia"/>
                <w:kern w:val="2"/>
                <w:sz w:val="21"/>
                <w:szCs w:val="21"/>
                <w:lang w:eastAsia="ja-JP"/>
              </w:rPr>
              <w:fldChar w:fldCharType="begin"/>
            </w:r>
            <w:r w:rsidR="00003A61" w:rsidRPr="00800E54">
              <w:rPr>
                <w:sz w:val="21"/>
                <w:szCs w:val="21"/>
              </w:rPr>
              <w:instrText xml:space="preserve"> =SUM(ABOVE) </w:instrText>
            </w:r>
            <w:r w:rsidRPr="00800E54">
              <w:rPr>
                <w:rFonts w:eastAsiaTheme="minorEastAsia"/>
                <w:kern w:val="2"/>
                <w:sz w:val="21"/>
                <w:szCs w:val="21"/>
                <w:lang w:eastAsia="ja-JP"/>
              </w:rPr>
              <w:fldChar w:fldCharType="separate"/>
            </w:r>
            <w:r w:rsidR="00003A61" w:rsidRPr="00800E54">
              <w:rPr>
                <w:noProof/>
                <w:sz w:val="21"/>
                <w:szCs w:val="21"/>
              </w:rPr>
              <w:t>3</w:t>
            </w:r>
            <w:r w:rsidRPr="00800E54">
              <w:rPr>
                <w:rFonts w:eastAsiaTheme="minorEastAsia"/>
                <w:kern w:val="2"/>
                <w:sz w:val="21"/>
                <w:szCs w:val="21"/>
                <w:lang w:eastAsia="ja-JP"/>
              </w:rPr>
              <w:fldChar w:fldCharType="end"/>
            </w:r>
          </w:p>
        </w:tc>
        <w:tc>
          <w:tcPr>
            <w:tcW w:w="1026" w:type="dxa"/>
            <w:tcBorders>
              <w:right w:val="nil"/>
            </w:tcBorders>
            <w:vAlign w:val="center"/>
          </w:tcPr>
          <w:p w:rsidR="00003A61" w:rsidRPr="00800E54" w:rsidRDefault="007A6D31" w:rsidP="00A51AEF">
            <w:pPr>
              <w:pStyle w:val="Tabletext"/>
              <w:rPr>
                <w:sz w:val="21"/>
                <w:szCs w:val="21"/>
              </w:rPr>
            </w:pPr>
            <w:r w:rsidRPr="00800E54">
              <w:rPr>
                <w:rFonts w:eastAsiaTheme="minorEastAsia"/>
                <w:kern w:val="2"/>
                <w:sz w:val="21"/>
                <w:szCs w:val="21"/>
                <w:lang w:eastAsia="ja-JP"/>
              </w:rPr>
              <w:fldChar w:fldCharType="begin"/>
            </w:r>
            <w:r w:rsidR="00003A61" w:rsidRPr="00800E54">
              <w:rPr>
                <w:sz w:val="21"/>
                <w:szCs w:val="21"/>
              </w:rPr>
              <w:instrText xml:space="preserve"> =SUM(ABOVE) </w:instrText>
            </w:r>
            <w:r w:rsidRPr="00800E54">
              <w:rPr>
                <w:rFonts w:eastAsiaTheme="minorEastAsia"/>
                <w:kern w:val="2"/>
                <w:sz w:val="21"/>
                <w:szCs w:val="21"/>
                <w:lang w:eastAsia="ja-JP"/>
              </w:rPr>
              <w:fldChar w:fldCharType="separate"/>
            </w:r>
            <w:r w:rsidR="00003A61" w:rsidRPr="00800E54">
              <w:rPr>
                <w:noProof/>
                <w:sz w:val="21"/>
                <w:szCs w:val="21"/>
              </w:rPr>
              <w:t>36</w:t>
            </w:r>
            <w:r w:rsidRPr="00800E54">
              <w:rPr>
                <w:rFonts w:eastAsiaTheme="minorEastAsia"/>
                <w:kern w:val="2"/>
                <w:sz w:val="21"/>
                <w:szCs w:val="21"/>
                <w:lang w:eastAsia="ja-JP"/>
              </w:rPr>
              <w:fldChar w:fldCharType="end"/>
            </w:r>
          </w:p>
        </w:tc>
      </w:tr>
    </w:tbl>
    <w:p w:rsidR="00003A61" w:rsidRDefault="00003A61" w:rsidP="00C904E2">
      <w:pPr>
        <w:ind w:firstLine="567"/>
        <w:rPr>
          <w:rFonts w:ascii="Times New Roman" w:hAnsi="Times New Roman"/>
          <w:sz w:val="24"/>
          <w:lang w:val="en-GB"/>
        </w:rPr>
      </w:pPr>
    </w:p>
    <w:p w:rsidR="00877931" w:rsidRPr="00800E54" w:rsidRDefault="00877931" w:rsidP="00C904E2">
      <w:pPr>
        <w:ind w:firstLine="567"/>
        <w:rPr>
          <w:rFonts w:ascii="Times New Roman" w:hAnsi="Times New Roman"/>
          <w:sz w:val="24"/>
          <w:lang w:val="en-GB"/>
        </w:rPr>
      </w:pPr>
    </w:p>
    <w:p w:rsidR="002E57E1" w:rsidRPr="00800E54" w:rsidRDefault="002E57E1" w:rsidP="002E57E1">
      <w:pPr>
        <w:ind w:firstLineChars="250" w:firstLine="600"/>
        <w:rPr>
          <w:rFonts w:ascii="Times New Roman" w:hAnsi="Times New Roman"/>
          <w:sz w:val="24"/>
          <w:lang w:val="en-GB"/>
        </w:rPr>
      </w:pPr>
      <w:r w:rsidRPr="00800E54">
        <w:rPr>
          <w:rFonts w:ascii="Times New Roman" w:hAnsi="Times New Roman"/>
          <w:sz w:val="24"/>
          <w:lang w:val="en-GB"/>
        </w:rPr>
        <w:t>In order to reach a large number of people in geographically distant places, and to allow for sufficient time for respondents to answer the numerous and not always simple questions, a web-based survey was developed. Potential respondents have been contacted principally by email. The main, but not exclusive, distribution channels were mailing lists of engineering students and transport specialists. Responses were collected between November 2009 and January 2010.</w:t>
      </w:r>
    </w:p>
    <w:p w:rsidR="00003A61" w:rsidRPr="00800E54" w:rsidRDefault="00003A61" w:rsidP="00C904E2">
      <w:pPr>
        <w:ind w:firstLine="567"/>
        <w:rPr>
          <w:rFonts w:ascii="Times New Roman" w:hAnsi="Times New Roman"/>
          <w:sz w:val="24"/>
          <w:lang w:val="en-GB"/>
        </w:rPr>
      </w:pPr>
    </w:p>
    <w:p w:rsidR="00003A61" w:rsidRPr="00800E54" w:rsidRDefault="00003A61" w:rsidP="00003A61">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2.2 Sample</w:t>
      </w:r>
    </w:p>
    <w:p w:rsidR="00003A61" w:rsidRPr="00800E54" w:rsidRDefault="00003A61" w:rsidP="00003A61">
      <w:pPr>
        <w:rPr>
          <w:rFonts w:ascii="Times New Roman" w:hAnsi="Times New Roman"/>
          <w:b/>
          <w:sz w:val="24"/>
          <w:lang w:val="en-GB"/>
        </w:rPr>
      </w:pPr>
    </w:p>
    <w:p w:rsidR="00003A61" w:rsidRPr="00800E54" w:rsidRDefault="00003A61" w:rsidP="00003A61">
      <w:pPr>
        <w:ind w:firstLine="567"/>
        <w:rPr>
          <w:rFonts w:ascii="Times New Roman" w:hAnsi="Times New Roman"/>
          <w:sz w:val="24"/>
          <w:lang w:val="en-GB"/>
        </w:rPr>
      </w:pPr>
      <w:r w:rsidRPr="00800E54">
        <w:rPr>
          <w:rFonts w:ascii="Times New Roman" w:hAnsi="Times New Roman"/>
          <w:sz w:val="24"/>
          <w:lang w:val="en-GB"/>
        </w:rPr>
        <w:t>The survey was completed by 597 respondents.</w:t>
      </w:r>
      <w:r w:rsidR="00F52EC0" w:rsidRPr="00800E54">
        <w:rPr>
          <w:rFonts w:ascii="Times New Roman" w:hAnsi="Times New Roman"/>
          <w:sz w:val="24"/>
          <w:lang w:val="en-GB"/>
        </w:rPr>
        <w:t xml:space="preserve"> </w:t>
      </w:r>
      <w:r w:rsidRPr="00800E54">
        <w:rPr>
          <w:rFonts w:ascii="Times New Roman" w:hAnsi="Times New Roman"/>
          <w:sz w:val="24"/>
          <w:lang w:val="en-GB"/>
        </w:rPr>
        <w:t xml:space="preserve">38% of the respondents are women with a mean age of 29.6 years; and 90% are less than 42 years old. The male component of the sample has a mean age of 31.4 years and a 90th percentile of the age distribution equal to 48.0 years (Figure 1a). The vast majority of respondents are either students or employees (Figure 1b). </w:t>
      </w:r>
    </w:p>
    <w:tbl>
      <w:tblPr>
        <w:tblStyle w:val="TableGrid"/>
        <w:tblW w:w="5000" w:type="pct"/>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643"/>
        <w:gridCol w:w="4643"/>
      </w:tblGrid>
      <w:tr w:rsidR="00003A61" w:rsidRPr="00800E54" w:rsidTr="00AC7665">
        <w:trPr>
          <w:cantSplit/>
        </w:trPr>
        <w:tc>
          <w:tcPr>
            <w:tcW w:w="2500" w:type="pct"/>
            <w:vAlign w:val="center"/>
          </w:tcPr>
          <w:p w:rsidR="00003A61" w:rsidRPr="00800E54" w:rsidRDefault="00003A61" w:rsidP="00AC7665">
            <w:pPr>
              <w:jc w:val="center"/>
              <w:rPr>
                <w:b/>
                <w:noProof/>
                <w:lang w:val="en-GB"/>
              </w:rPr>
            </w:pPr>
            <w:r w:rsidRPr="00800E54">
              <w:rPr>
                <w:b/>
                <w:noProof/>
                <w:lang w:val="en-GB"/>
              </w:rPr>
              <w:lastRenderedPageBreak/>
              <w:t>(a)</w:t>
            </w:r>
          </w:p>
          <w:p w:rsidR="00003A61" w:rsidRPr="00800E54" w:rsidRDefault="00003A61" w:rsidP="00AC7665">
            <w:pPr>
              <w:jc w:val="center"/>
              <w:rPr>
                <w:noProof/>
                <w:lang w:val="en-GB"/>
              </w:rPr>
            </w:pPr>
            <w:r w:rsidRPr="00800E54">
              <w:rPr>
                <w:noProof/>
                <w:lang w:val="en-GB" w:eastAsia="en-GB"/>
              </w:rPr>
              <w:drawing>
                <wp:inline distT="0" distB="0" distL="0" distR="0" wp14:anchorId="6ABC456F" wp14:editId="53C0A690">
                  <wp:extent cx="2880000" cy="2304000"/>
                  <wp:effectExtent l="19050" t="0" r="0"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2880000" cy="2304000"/>
                          </a:xfrm>
                          <a:prstGeom prst="rect">
                            <a:avLst/>
                          </a:prstGeom>
                          <a:noFill/>
                          <a:ln w="9525">
                            <a:noFill/>
                            <a:miter lim="800000"/>
                            <a:headEnd/>
                            <a:tailEnd/>
                          </a:ln>
                        </pic:spPr>
                      </pic:pic>
                    </a:graphicData>
                  </a:graphic>
                </wp:inline>
              </w:drawing>
            </w:r>
          </w:p>
        </w:tc>
        <w:tc>
          <w:tcPr>
            <w:tcW w:w="2500" w:type="pct"/>
            <w:vAlign w:val="center"/>
          </w:tcPr>
          <w:p w:rsidR="00003A61" w:rsidRPr="00800E54" w:rsidRDefault="00003A61" w:rsidP="00AC7665">
            <w:pPr>
              <w:jc w:val="center"/>
              <w:rPr>
                <w:b/>
                <w:noProof/>
                <w:lang w:val="en-GB"/>
              </w:rPr>
            </w:pPr>
            <w:r w:rsidRPr="00800E54">
              <w:rPr>
                <w:b/>
                <w:noProof/>
                <w:lang w:val="en-GB"/>
              </w:rPr>
              <w:t>(b)</w:t>
            </w:r>
          </w:p>
          <w:p w:rsidR="00003A61" w:rsidRPr="00800E54" w:rsidRDefault="00003A61" w:rsidP="00AC7665">
            <w:pPr>
              <w:jc w:val="center"/>
              <w:rPr>
                <w:noProof/>
                <w:lang w:val="en-GB"/>
              </w:rPr>
            </w:pPr>
            <w:r w:rsidRPr="00800E54">
              <w:rPr>
                <w:noProof/>
                <w:lang w:val="en-GB" w:eastAsia="en-GB"/>
              </w:rPr>
              <w:drawing>
                <wp:inline distT="0" distB="0" distL="0" distR="0" wp14:anchorId="20C2CA17" wp14:editId="6BCF9DC8">
                  <wp:extent cx="2880000" cy="2310095"/>
                  <wp:effectExtent l="1905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880000" cy="2310095"/>
                          </a:xfrm>
                          <a:prstGeom prst="rect">
                            <a:avLst/>
                          </a:prstGeom>
                          <a:noFill/>
                          <a:ln w="9525">
                            <a:noFill/>
                            <a:miter lim="800000"/>
                            <a:headEnd/>
                            <a:tailEnd/>
                          </a:ln>
                        </pic:spPr>
                      </pic:pic>
                    </a:graphicData>
                  </a:graphic>
                </wp:inline>
              </w:drawing>
            </w:r>
          </w:p>
        </w:tc>
      </w:tr>
    </w:tbl>
    <w:p w:rsidR="00003A61" w:rsidRPr="00800E54" w:rsidRDefault="00003A61" w:rsidP="00003A61">
      <w:pPr>
        <w:jc w:val="center"/>
        <w:outlineLvl w:val="0"/>
        <w:rPr>
          <w:rFonts w:ascii="Times New Roman" w:hAnsi="Times New Roman"/>
          <w:sz w:val="24"/>
          <w:lang w:val="en-GB"/>
        </w:rPr>
      </w:pPr>
      <w:r w:rsidRPr="00800E54">
        <w:rPr>
          <w:rFonts w:ascii="Times New Roman" w:hAnsi="Times New Roman"/>
          <w:sz w:val="24"/>
          <w:lang w:val="en-GB"/>
        </w:rPr>
        <w:t>Figure 1. (a) Age distribution per gender, (b) Occupational category</w:t>
      </w:r>
    </w:p>
    <w:p w:rsidR="00003A61" w:rsidRDefault="00003A61" w:rsidP="00C904E2">
      <w:pPr>
        <w:ind w:firstLine="567"/>
        <w:rPr>
          <w:rFonts w:ascii="Times New Roman" w:hAnsi="Times New Roman"/>
          <w:sz w:val="24"/>
          <w:lang w:val="en-GB"/>
        </w:rPr>
      </w:pPr>
    </w:p>
    <w:p w:rsidR="00877931" w:rsidRPr="00800E54" w:rsidRDefault="00877931" w:rsidP="00C904E2">
      <w:pPr>
        <w:ind w:firstLine="567"/>
        <w:rPr>
          <w:rFonts w:ascii="Times New Roman" w:hAnsi="Times New Roman"/>
          <w:sz w:val="24"/>
          <w:lang w:val="en-GB"/>
        </w:rPr>
      </w:pPr>
    </w:p>
    <w:p w:rsidR="00003A61" w:rsidRPr="00800E54" w:rsidRDefault="00003A61" w:rsidP="00C904E2">
      <w:pPr>
        <w:ind w:firstLine="567"/>
        <w:rPr>
          <w:rFonts w:ascii="Times New Roman" w:hAnsi="Times New Roman"/>
          <w:sz w:val="24"/>
          <w:lang w:val="en-GB"/>
        </w:rPr>
      </w:pPr>
      <w:r w:rsidRPr="00800E54">
        <w:rPr>
          <w:rFonts w:ascii="Times New Roman" w:hAnsi="Times New Roman"/>
          <w:sz w:val="24"/>
          <w:lang w:val="en-GB"/>
        </w:rPr>
        <w:t>Participants come from 106 different work/study cities, which have been taken as reference to determine respondent’s country and when geographical aspects are considered in the following</w:t>
      </w:r>
      <w:r w:rsidR="002E57E1" w:rsidRPr="00800E54">
        <w:rPr>
          <w:rFonts w:ascii="Times New Roman" w:hAnsi="Times New Roman"/>
          <w:sz w:val="24"/>
          <w:lang w:val="en-GB"/>
        </w:rPr>
        <w:t>. T</w:t>
      </w:r>
      <w:r w:rsidRPr="00800E54">
        <w:rPr>
          <w:rFonts w:ascii="Times New Roman" w:hAnsi="Times New Roman"/>
          <w:sz w:val="24"/>
          <w:lang w:val="en-GB"/>
        </w:rPr>
        <w:t>he 10 most represented cities are listed in Table 2.</w:t>
      </w:r>
    </w:p>
    <w:p w:rsidR="00003A61" w:rsidRPr="00800E54" w:rsidRDefault="00003A61" w:rsidP="00C904E2">
      <w:pPr>
        <w:ind w:firstLine="567"/>
        <w:rPr>
          <w:rFonts w:ascii="Times New Roman" w:hAnsi="Times New Roman"/>
          <w:sz w:val="24"/>
          <w:lang w:val="en-GB"/>
        </w:rPr>
      </w:pPr>
    </w:p>
    <w:p w:rsidR="00003A61" w:rsidRPr="00800E54" w:rsidRDefault="00003A61" w:rsidP="00003A61">
      <w:pPr>
        <w:tabs>
          <w:tab w:val="left" w:pos="993"/>
        </w:tabs>
        <w:jc w:val="center"/>
        <w:rPr>
          <w:rFonts w:ascii="Times New Roman" w:hAnsi="Times New Roman"/>
          <w:sz w:val="24"/>
          <w:lang w:val="en-GB"/>
        </w:rPr>
      </w:pPr>
      <w:r w:rsidRPr="00800E54">
        <w:rPr>
          <w:rFonts w:ascii="Times New Roman" w:hAnsi="Times New Roman"/>
          <w:sz w:val="24"/>
          <w:lang w:val="en-GB"/>
        </w:rPr>
        <w:t>Table 2. 10 most represented cities</w:t>
      </w:r>
    </w:p>
    <w:tbl>
      <w:tblPr>
        <w:tblStyle w:val="TableGrid"/>
        <w:tblW w:w="5000" w:type="pct"/>
        <w:tblLook w:val="04A0" w:firstRow="1" w:lastRow="0" w:firstColumn="1" w:lastColumn="0" w:noHBand="0" w:noVBand="1"/>
      </w:tblPr>
      <w:tblGrid>
        <w:gridCol w:w="1858"/>
        <w:gridCol w:w="1857"/>
        <w:gridCol w:w="1857"/>
        <w:gridCol w:w="1857"/>
        <w:gridCol w:w="1857"/>
      </w:tblGrid>
      <w:tr w:rsidR="00003A61" w:rsidRPr="00800E54" w:rsidTr="00A51AEF">
        <w:tc>
          <w:tcPr>
            <w:tcW w:w="1000" w:type="pct"/>
            <w:tcBorders>
              <w:left w:val="nil"/>
            </w:tcBorders>
            <w:vAlign w:val="center"/>
          </w:tcPr>
          <w:p w:rsidR="00003A61" w:rsidRPr="00800E54" w:rsidRDefault="00003A61" w:rsidP="00A51AEF">
            <w:pPr>
              <w:pStyle w:val="Tabletext"/>
              <w:rPr>
                <w:b/>
                <w:sz w:val="22"/>
                <w:szCs w:val="22"/>
              </w:rPr>
            </w:pPr>
            <w:r w:rsidRPr="00800E54">
              <w:rPr>
                <w:b/>
                <w:sz w:val="22"/>
                <w:szCs w:val="22"/>
              </w:rPr>
              <w:t>City</w:t>
            </w:r>
          </w:p>
        </w:tc>
        <w:tc>
          <w:tcPr>
            <w:tcW w:w="1000" w:type="pct"/>
            <w:vAlign w:val="center"/>
          </w:tcPr>
          <w:p w:rsidR="00003A61" w:rsidRPr="00800E54" w:rsidRDefault="00003A61" w:rsidP="00A51AEF">
            <w:pPr>
              <w:pStyle w:val="Tabletext"/>
              <w:rPr>
                <w:b/>
                <w:sz w:val="22"/>
                <w:szCs w:val="22"/>
              </w:rPr>
            </w:pPr>
            <w:r w:rsidRPr="00800E54">
              <w:rPr>
                <w:b/>
                <w:sz w:val="22"/>
                <w:szCs w:val="22"/>
              </w:rPr>
              <w:t>Country</w:t>
            </w:r>
          </w:p>
        </w:tc>
        <w:tc>
          <w:tcPr>
            <w:tcW w:w="1000" w:type="pct"/>
            <w:vAlign w:val="center"/>
          </w:tcPr>
          <w:p w:rsidR="00003A61" w:rsidRPr="00800E54" w:rsidRDefault="00003A61" w:rsidP="00A51AEF">
            <w:pPr>
              <w:pStyle w:val="Tabletext"/>
              <w:rPr>
                <w:b/>
                <w:sz w:val="22"/>
                <w:szCs w:val="22"/>
              </w:rPr>
            </w:pPr>
            <w:r w:rsidRPr="00800E54">
              <w:rPr>
                <w:b/>
                <w:sz w:val="22"/>
                <w:szCs w:val="22"/>
              </w:rPr>
              <w:t>Overall percentage</w:t>
            </w:r>
          </w:p>
        </w:tc>
        <w:tc>
          <w:tcPr>
            <w:tcW w:w="1000" w:type="pct"/>
            <w:vAlign w:val="center"/>
          </w:tcPr>
          <w:p w:rsidR="00003A61" w:rsidRPr="00800E54" w:rsidRDefault="00003A61" w:rsidP="00A51AEF">
            <w:pPr>
              <w:pStyle w:val="Tabletext"/>
              <w:rPr>
                <w:b/>
                <w:sz w:val="22"/>
                <w:szCs w:val="22"/>
              </w:rPr>
            </w:pPr>
            <w:r w:rsidRPr="00800E54">
              <w:rPr>
                <w:b/>
                <w:sz w:val="22"/>
                <w:szCs w:val="22"/>
              </w:rPr>
              <w:t>Cumulative percentage</w:t>
            </w:r>
          </w:p>
        </w:tc>
        <w:tc>
          <w:tcPr>
            <w:tcW w:w="1000" w:type="pct"/>
            <w:tcBorders>
              <w:right w:val="nil"/>
            </w:tcBorders>
            <w:vAlign w:val="center"/>
          </w:tcPr>
          <w:p w:rsidR="00003A61" w:rsidRPr="00800E54" w:rsidRDefault="00800E54" w:rsidP="00A51AEF">
            <w:pPr>
              <w:pStyle w:val="Tabletext"/>
              <w:rPr>
                <w:b/>
                <w:sz w:val="22"/>
                <w:szCs w:val="22"/>
              </w:rPr>
            </w:pPr>
            <w:r>
              <w:rPr>
                <w:rFonts w:eastAsiaTheme="minorEastAsia" w:hint="eastAsia"/>
                <w:b/>
                <w:sz w:val="22"/>
                <w:szCs w:val="22"/>
                <w:lang w:eastAsia="ja-JP"/>
              </w:rPr>
              <w:t>%</w:t>
            </w:r>
            <w:r w:rsidRPr="00800E54">
              <w:rPr>
                <w:b/>
                <w:sz w:val="22"/>
                <w:szCs w:val="22"/>
              </w:rPr>
              <w:t xml:space="preserve"> </w:t>
            </w:r>
            <w:r w:rsidR="00003A61" w:rsidRPr="00800E54">
              <w:rPr>
                <w:b/>
                <w:sz w:val="22"/>
                <w:szCs w:val="22"/>
              </w:rPr>
              <w:t>within the country</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London</w:t>
            </w:r>
          </w:p>
        </w:tc>
        <w:tc>
          <w:tcPr>
            <w:tcW w:w="1000" w:type="pct"/>
            <w:vAlign w:val="center"/>
          </w:tcPr>
          <w:p w:rsidR="00003A61" w:rsidRPr="00800E54" w:rsidRDefault="00003A61" w:rsidP="00A51AEF">
            <w:pPr>
              <w:pStyle w:val="Tabletext"/>
              <w:rPr>
                <w:sz w:val="22"/>
                <w:szCs w:val="22"/>
              </w:rPr>
            </w:pPr>
            <w:r w:rsidRPr="00800E54">
              <w:rPr>
                <w:sz w:val="22"/>
                <w:szCs w:val="22"/>
              </w:rPr>
              <w:t>UK</w:t>
            </w:r>
          </w:p>
        </w:tc>
        <w:tc>
          <w:tcPr>
            <w:tcW w:w="1000" w:type="pct"/>
            <w:vAlign w:val="center"/>
          </w:tcPr>
          <w:p w:rsidR="00003A61" w:rsidRPr="00800E54" w:rsidRDefault="00003A61" w:rsidP="00A51AEF">
            <w:pPr>
              <w:pStyle w:val="Tabletext"/>
              <w:rPr>
                <w:sz w:val="22"/>
                <w:szCs w:val="22"/>
              </w:rPr>
            </w:pPr>
            <w:r w:rsidRPr="00800E54">
              <w:rPr>
                <w:sz w:val="22"/>
                <w:szCs w:val="22"/>
              </w:rPr>
              <w:t>24.9</w:t>
            </w:r>
          </w:p>
        </w:tc>
        <w:tc>
          <w:tcPr>
            <w:tcW w:w="1000" w:type="pct"/>
            <w:vAlign w:val="center"/>
          </w:tcPr>
          <w:p w:rsidR="00003A61" w:rsidRPr="00800E54" w:rsidRDefault="00003A61" w:rsidP="00A51AEF">
            <w:pPr>
              <w:pStyle w:val="Tabletext"/>
              <w:rPr>
                <w:sz w:val="22"/>
                <w:szCs w:val="22"/>
              </w:rPr>
            </w:pPr>
            <w:r w:rsidRPr="00800E54">
              <w:rPr>
                <w:sz w:val="22"/>
                <w:szCs w:val="22"/>
              </w:rPr>
              <w:t>24.9</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79.8</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Roma</w:t>
            </w:r>
          </w:p>
        </w:tc>
        <w:tc>
          <w:tcPr>
            <w:tcW w:w="1000" w:type="pct"/>
            <w:vAlign w:val="center"/>
          </w:tcPr>
          <w:p w:rsidR="00003A61" w:rsidRPr="00800E54" w:rsidRDefault="00003A61" w:rsidP="00A51AEF">
            <w:pPr>
              <w:pStyle w:val="Tabletext"/>
              <w:rPr>
                <w:sz w:val="22"/>
                <w:szCs w:val="22"/>
              </w:rPr>
            </w:pPr>
            <w:r w:rsidRPr="00800E54">
              <w:rPr>
                <w:sz w:val="22"/>
                <w:szCs w:val="22"/>
              </w:rPr>
              <w:t>Italy</w:t>
            </w:r>
          </w:p>
        </w:tc>
        <w:tc>
          <w:tcPr>
            <w:tcW w:w="1000" w:type="pct"/>
            <w:vAlign w:val="center"/>
          </w:tcPr>
          <w:p w:rsidR="00003A61" w:rsidRPr="00800E54" w:rsidRDefault="00003A61" w:rsidP="00A51AEF">
            <w:pPr>
              <w:pStyle w:val="Tabletext"/>
              <w:rPr>
                <w:sz w:val="22"/>
                <w:szCs w:val="22"/>
              </w:rPr>
            </w:pPr>
            <w:r w:rsidRPr="00800E54">
              <w:rPr>
                <w:sz w:val="22"/>
                <w:szCs w:val="22"/>
              </w:rPr>
              <w:t>13.4</w:t>
            </w:r>
          </w:p>
        </w:tc>
        <w:tc>
          <w:tcPr>
            <w:tcW w:w="1000" w:type="pct"/>
            <w:vAlign w:val="center"/>
          </w:tcPr>
          <w:p w:rsidR="00003A61" w:rsidRPr="00800E54" w:rsidRDefault="00003A61" w:rsidP="00A51AEF">
            <w:pPr>
              <w:pStyle w:val="Tabletext"/>
              <w:rPr>
                <w:sz w:val="22"/>
                <w:szCs w:val="22"/>
              </w:rPr>
            </w:pPr>
            <w:r w:rsidRPr="00800E54">
              <w:rPr>
                <w:sz w:val="22"/>
                <w:szCs w:val="22"/>
              </w:rPr>
              <w:t>38.3</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60.7</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Tokyo</w:t>
            </w:r>
          </w:p>
        </w:tc>
        <w:tc>
          <w:tcPr>
            <w:tcW w:w="1000" w:type="pct"/>
            <w:vAlign w:val="center"/>
          </w:tcPr>
          <w:p w:rsidR="00003A61" w:rsidRPr="00800E54" w:rsidRDefault="00003A61" w:rsidP="00A51AEF">
            <w:pPr>
              <w:pStyle w:val="Tabletext"/>
              <w:rPr>
                <w:sz w:val="22"/>
                <w:szCs w:val="22"/>
              </w:rPr>
            </w:pPr>
            <w:r w:rsidRPr="00800E54">
              <w:rPr>
                <w:sz w:val="22"/>
                <w:szCs w:val="22"/>
              </w:rPr>
              <w:t>Japan</w:t>
            </w:r>
          </w:p>
        </w:tc>
        <w:tc>
          <w:tcPr>
            <w:tcW w:w="1000" w:type="pct"/>
            <w:vAlign w:val="center"/>
          </w:tcPr>
          <w:p w:rsidR="00003A61" w:rsidRPr="00800E54" w:rsidRDefault="00003A61" w:rsidP="00A51AEF">
            <w:pPr>
              <w:pStyle w:val="Tabletext"/>
              <w:rPr>
                <w:sz w:val="22"/>
                <w:szCs w:val="22"/>
              </w:rPr>
            </w:pPr>
            <w:r w:rsidRPr="00800E54">
              <w:rPr>
                <w:sz w:val="22"/>
                <w:szCs w:val="22"/>
              </w:rPr>
              <w:t>7.4</w:t>
            </w:r>
          </w:p>
        </w:tc>
        <w:tc>
          <w:tcPr>
            <w:tcW w:w="1000" w:type="pct"/>
            <w:vAlign w:val="center"/>
          </w:tcPr>
          <w:p w:rsidR="00003A61" w:rsidRPr="00800E54" w:rsidRDefault="00003A61" w:rsidP="00A51AEF">
            <w:pPr>
              <w:pStyle w:val="Tabletext"/>
              <w:rPr>
                <w:sz w:val="22"/>
                <w:szCs w:val="22"/>
              </w:rPr>
            </w:pPr>
            <w:r w:rsidRPr="00800E54">
              <w:rPr>
                <w:sz w:val="22"/>
                <w:szCs w:val="22"/>
              </w:rPr>
              <w:t>45.7</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54.1</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Karlsruhe</w:t>
            </w:r>
          </w:p>
        </w:tc>
        <w:tc>
          <w:tcPr>
            <w:tcW w:w="1000" w:type="pct"/>
            <w:vAlign w:val="center"/>
          </w:tcPr>
          <w:p w:rsidR="00003A61" w:rsidRPr="00800E54" w:rsidRDefault="00003A61" w:rsidP="00A51AEF">
            <w:pPr>
              <w:pStyle w:val="Tabletext"/>
              <w:rPr>
                <w:sz w:val="22"/>
                <w:szCs w:val="22"/>
              </w:rPr>
            </w:pPr>
            <w:r w:rsidRPr="00800E54">
              <w:rPr>
                <w:sz w:val="22"/>
                <w:szCs w:val="22"/>
              </w:rPr>
              <w:t>Germany</w:t>
            </w:r>
          </w:p>
        </w:tc>
        <w:tc>
          <w:tcPr>
            <w:tcW w:w="1000" w:type="pct"/>
            <w:vAlign w:val="center"/>
          </w:tcPr>
          <w:p w:rsidR="00003A61" w:rsidRPr="00800E54" w:rsidRDefault="00003A61" w:rsidP="00A51AEF">
            <w:pPr>
              <w:pStyle w:val="Tabletext"/>
              <w:rPr>
                <w:sz w:val="22"/>
                <w:szCs w:val="22"/>
              </w:rPr>
            </w:pPr>
            <w:r w:rsidRPr="00800E54">
              <w:rPr>
                <w:sz w:val="22"/>
                <w:szCs w:val="22"/>
              </w:rPr>
              <w:t>4.9</w:t>
            </w:r>
          </w:p>
        </w:tc>
        <w:tc>
          <w:tcPr>
            <w:tcW w:w="1000" w:type="pct"/>
            <w:vAlign w:val="center"/>
          </w:tcPr>
          <w:p w:rsidR="00003A61" w:rsidRPr="00800E54" w:rsidRDefault="00003A61" w:rsidP="00A51AEF">
            <w:pPr>
              <w:pStyle w:val="Tabletext"/>
              <w:rPr>
                <w:sz w:val="22"/>
                <w:szCs w:val="22"/>
              </w:rPr>
            </w:pPr>
            <w:r w:rsidRPr="00800E54">
              <w:rPr>
                <w:sz w:val="22"/>
                <w:szCs w:val="22"/>
              </w:rPr>
              <w:t>50.5</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58.7</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Taranto</w:t>
            </w:r>
          </w:p>
        </w:tc>
        <w:tc>
          <w:tcPr>
            <w:tcW w:w="1000" w:type="pct"/>
            <w:vAlign w:val="center"/>
          </w:tcPr>
          <w:p w:rsidR="00003A61" w:rsidRPr="00800E54" w:rsidRDefault="00003A61" w:rsidP="00A51AEF">
            <w:pPr>
              <w:pStyle w:val="Tabletext"/>
              <w:rPr>
                <w:sz w:val="22"/>
                <w:szCs w:val="22"/>
              </w:rPr>
            </w:pPr>
            <w:r w:rsidRPr="00800E54">
              <w:rPr>
                <w:sz w:val="22"/>
                <w:szCs w:val="22"/>
              </w:rPr>
              <w:t>Italy</w:t>
            </w:r>
          </w:p>
        </w:tc>
        <w:tc>
          <w:tcPr>
            <w:tcW w:w="1000" w:type="pct"/>
            <w:vAlign w:val="center"/>
          </w:tcPr>
          <w:p w:rsidR="00003A61" w:rsidRPr="00800E54" w:rsidRDefault="00003A61" w:rsidP="00A51AEF">
            <w:pPr>
              <w:pStyle w:val="Tabletext"/>
              <w:rPr>
                <w:sz w:val="22"/>
                <w:szCs w:val="22"/>
              </w:rPr>
            </w:pPr>
            <w:r w:rsidRPr="00800E54">
              <w:rPr>
                <w:sz w:val="22"/>
                <w:szCs w:val="22"/>
              </w:rPr>
              <w:t>4.5</w:t>
            </w:r>
          </w:p>
        </w:tc>
        <w:tc>
          <w:tcPr>
            <w:tcW w:w="1000" w:type="pct"/>
            <w:vAlign w:val="center"/>
          </w:tcPr>
          <w:p w:rsidR="00003A61" w:rsidRPr="00800E54" w:rsidRDefault="00003A61" w:rsidP="00A51AEF">
            <w:pPr>
              <w:pStyle w:val="Tabletext"/>
              <w:rPr>
                <w:sz w:val="22"/>
                <w:szCs w:val="22"/>
              </w:rPr>
            </w:pPr>
            <w:r w:rsidRPr="00800E54">
              <w:rPr>
                <w:sz w:val="22"/>
                <w:szCs w:val="22"/>
              </w:rPr>
              <w:t>55.1</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25.0</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Wuhan</w:t>
            </w:r>
          </w:p>
        </w:tc>
        <w:tc>
          <w:tcPr>
            <w:tcW w:w="1000" w:type="pct"/>
            <w:vAlign w:val="center"/>
          </w:tcPr>
          <w:p w:rsidR="00003A61" w:rsidRPr="00800E54" w:rsidRDefault="00003A61" w:rsidP="00A51AEF">
            <w:pPr>
              <w:pStyle w:val="Tabletext"/>
              <w:rPr>
                <w:sz w:val="22"/>
                <w:szCs w:val="22"/>
              </w:rPr>
            </w:pPr>
            <w:r w:rsidRPr="00800E54">
              <w:rPr>
                <w:sz w:val="22"/>
                <w:szCs w:val="22"/>
              </w:rPr>
              <w:t>China</w:t>
            </w:r>
          </w:p>
        </w:tc>
        <w:tc>
          <w:tcPr>
            <w:tcW w:w="1000" w:type="pct"/>
            <w:vAlign w:val="center"/>
          </w:tcPr>
          <w:p w:rsidR="00003A61" w:rsidRPr="00800E54" w:rsidRDefault="00003A61" w:rsidP="00A51AEF">
            <w:pPr>
              <w:pStyle w:val="Tabletext"/>
              <w:rPr>
                <w:sz w:val="22"/>
                <w:szCs w:val="22"/>
              </w:rPr>
            </w:pPr>
            <w:r w:rsidRPr="00800E54">
              <w:rPr>
                <w:sz w:val="22"/>
                <w:szCs w:val="22"/>
              </w:rPr>
              <w:t>4.3</w:t>
            </w:r>
          </w:p>
        </w:tc>
        <w:tc>
          <w:tcPr>
            <w:tcW w:w="1000" w:type="pct"/>
            <w:vAlign w:val="center"/>
          </w:tcPr>
          <w:p w:rsidR="00003A61" w:rsidRPr="00800E54" w:rsidRDefault="00003A61" w:rsidP="00A51AEF">
            <w:pPr>
              <w:pStyle w:val="Tabletext"/>
              <w:rPr>
                <w:sz w:val="22"/>
                <w:szCs w:val="22"/>
              </w:rPr>
            </w:pPr>
            <w:r w:rsidRPr="00800E54">
              <w:rPr>
                <w:sz w:val="22"/>
                <w:szCs w:val="22"/>
              </w:rPr>
              <w:t>59.4</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46.2</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Berkeley</w:t>
            </w:r>
          </w:p>
        </w:tc>
        <w:tc>
          <w:tcPr>
            <w:tcW w:w="1000" w:type="pct"/>
            <w:vAlign w:val="center"/>
          </w:tcPr>
          <w:p w:rsidR="00003A61" w:rsidRPr="00800E54" w:rsidRDefault="00003A61" w:rsidP="00A51AEF">
            <w:pPr>
              <w:pStyle w:val="Tabletext"/>
              <w:rPr>
                <w:sz w:val="22"/>
                <w:szCs w:val="22"/>
              </w:rPr>
            </w:pPr>
            <w:r w:rsidRPr="00800E54">
              <w:rPr>
                <w:sz w:val="22"/>
                <w:szCs w:val="22"/>
              </w:rPr>
              <w:t>USA</w:t>
            </w:r>
          </w:p>
        </w:tc>
        <w:tc>
          <w:tcPr>
            <w:tcW w:w="1000" w:type="pct"/>
            <w:vAlign w:val="center"/>
          </w:tcPr>
          <w:p w:rsidR="00003A61" w:rsidRPr="00800E54" w:rsidRDefault="00003A61" w:rsidP="00A51AEF">
            <w:pPr>
              <w:pStyle w:val="Tabletext"/>
              <w:rPr>
                <w:sz w:val="22"/>
                <w:szCs w:val="22"/>
              </w:rPr>
            </w:pPr>
            <w:r w:rsidRPr="00800E54">
              <w:rPr>
                <w:sz w:val="22"/>
                <w:szCs w:val="22"/>
              </w:rPr>
              <w:t>2.5</w:t>
            </w:r>
          </w:p>
        </w:tc>
        <w:tc>
          <w:tcPr>
            <w:tcW w:w="1000" w:type="pct"/>
            <w:vAlign w:val="center"/>
          </w:tcPr>
          <w:p w:rsidR="00003A61" w:rsidRPr="00800E54" w:rsidRDefault="00003A61" w:rsidP="00A51AEF">
            <w:pPr>
              <w:pStyle w:val="Tabletext"/>
              <w:rPr>
                <w:sz w:val="22"/>
                <w:szCs w:val="22"/>
              </w:rPr>
            </w:pPr>
            <w:r w:rsidRPr="00800E54">
              <w:rPr>
                <w:sz w:val="22"/>
                <w:szCs w:val="22"/>
              </w:rPr>
              <w:t>61.9</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25.0</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Graz</w:t>
            </w:r>
          </w:p>
        </w:tc>
        <w:tc>
          <w:tcPr>
            <w:tcW w:w="1000" w:type="pct"/>
            <w:vAlign w:val="center"/>
          </w:tcPr>
          <w:p w:rsidR="00003A61" w:rsidRPr="00800E54" w:rsidRDefault="00003A61" w:rsidP="00A51AEF">
            <w:pPr>
              <w:pStyle w:val="Tabletext"/>
              <w:rPr>
                <w:sz w:val="22"/>
                <w:szCs w:val="22"/>
              </w:rPr>
            </w:pPr>
            <w:r w:rsidRPr="00800E54">
              <w:rPr>
                <w:sz w:val="22"/>
                <w:szCs w:val="22"/>
              </w:rPr>
              <w:t>Austria</w:t>
            </w:r>
          </w:p>
        </w:tc>
        <w:tc>
          <w:tcPr>
            <w:tcW w:w="1000" w:type="pct"/>
            <w:vAlign w:val="center"/>
          </w:tcPr>
          <w:p w:rsidR="00003A61" w:rsidRPr="00800E54" w:rsidRDefault="00003A61" w:rsidP="00A51AEF">
            <w:pPr>
              <w:pStyle w:val="Tabletext"/>
              <w:rPr>
                <w:sz w:val="22"/>
                <w:szCs w:val="22"/>
              </w:rPr>
            </w:pPr>
            <w:r w:rsidRPr="00800E54">
              <w:rPr>
                <w:sz w:val="22"/>
                <w:szCs w:val="22"/>
              </w:rPr>
              <w:t>2.3</w:t>
            </w:r>
          </w:p>
        </w:tc>
        <w:tc>
          <w:tcPr>
            <w:tcW w:w="1000" w:type="pct"/>
            <w:vAlign w:val="center"/>
          </w:tcPr>
          <w:p w:rsidR="00003A61" w:rsidRPr="00800E54" w:rsidRDefault="00003A61" w:rsidP="00A51AEF">
            <w:pPr>
              <w:pStyle w:val="Tabletext"/>
              <w:rPr>
                <w:sz w:val="22"/>
                <w:szCs w:val="22"/>
              </w:rPr>
            </w:pPr>
            <w:r w:rsidRPr="00800E54">
              <w:rPr>
                <w:sz w:val="22"/>
                <w:szCs w:val="22"/>
              </w:rPr>
              <w:t>64.3</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81.3</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Kyoto</w:t>
            </w:r>
          </w:p>
        </w:tc>
        <w:tc>
          <w:tcPr>
            <w:tcW w:w="1000" w:type="pct"/>
            <w:vAlign w:val="center"/>
          </w:tcPr>
          <w:p w:rsidR="00003A61" w:rsidRPr="00800E54" w:rsidRDefault="00003A61" w:rsidP="00A51AEF">
            <w:pPr>
              <w:pStyle w:val="Tabletext"/>
              <w:rPr>
                <w:sz w:val="22"/>
                <w:szCs w:val="22"/>
              </w:rPr>
            </w:pPr>
            <w:r w:rsidRPr="00800E54">
              <w:rPr>
                <w:sz w:val="22"/>
                <w:szCs w:val="22"/>
              </w:rPr>
              <w:t>Japan</w:t>
            </w:r>
          </w:p>
        </w:tc>
        <w:tc>
          <w:tcPr>
            <w:tcW w:w="1000" w:type="pct"/>
            <w:vAlign w:val="center"/>
          </w:tcPr>
          <w:p w:rsidR="00003A61" w:rsidRPr="00800E54" w:rsidRDefault="00003A61" w:rsidP="00A51AEF">
            <w:pPr>
              <w:pStyle w:val="Tabletext"/>
              <w:rPr>
                <w:sz w:val="22"/>
                <w:szCs w:val="22"/>
              </w:rPr>
            </w:pPr>
            <w:r w:rsidRPr="00800E54">
              <w:rPr>
                <w:sz w:val="22"/>
                <w:szCs w:val="22"/>
              </w:rPr>
              <w:t>2.3</w:t>
            </w:r>
          </w:p>
        </w:tc>
        <w:tc>
          <w:tcPr>
            <w:tcW w:w="1000" w:type="pct"/>
            <w:vAlign w:val="center"/>
          </w:tcPr>
          <w:p w:rsidR="00003A61" w:rsidRPr="00800E54" w:rsidRDefault="00003A61" w:rsidP="00A51AEF">
            <w:pPr>
              <w:pStyle w:val="Tabletext"/>
              <w:rPr>
                <w:sz w:val="22"/>
                <w:szCs w:val="22"/>
              </w:rPr>
            </w:pPr>
            <w:r w:rsidRPr="00800E54">
              <w:rPr>
                <w:sz w:val="22"/>
                <w:szCs w:val="22"/>
              </w:rPr>
              <w:t>66.6</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17.6</w:t>
            </w:r>
          </w:p>
        </w:tc>
      </w:tr>
      <w:tr w:rsidR="00003A61" w:rsidRPr="00800E54" w:rsidTr="00A51AEF">
        <w:tc>
          <w:tcPr>
            <w:tcW w:w="1000" w:type="pct"/>
            <w:tcBorders>
              <w:left w:val="nil"/>
            </w:tcBorders>
            <w:vAlign w:val="center"/>
          </w:tcPr>
          <w:p w:rsidR="00003A61" w:rsidRPr="00800E54" w:rsidRDefault="00003A61" w:rsidP="00A51AEF">
            <w:pPr>
              <w:pStyle w:val="Tabletext"/>
              <w:rPr>
                <w:sz w:val="22"/>
                <w:szCs w:val="22"/>
              </w:rPr>
            </w:pPr>
            <w:r w:rsidRPr="00800E54">
              <w:rPr>
                <w:sz w:val="22"/>
                <w:szCs w:val="22"/>
              </w:rPr>
              <w:t>New York</w:t>
            </w:r>
          </w:p>
        </w:tc>
        <w:tc>
          <w:tcPr>
            <w:tcW w:w="1000" w:type="pct"/>
            <w:vAlign w:val="center"/>
          </w:tcPr>
          <w:p w:rsidR="00003A61" w:rsidRPr="00800E54" w:rsidRDefault="00003A61" w:rsidP="00A51AEF">
            <w:pPr>
              <w:pStyle w:val="Tabletext"/>
              <w:rPr>
                <w:sz w:val="22"/>
                <w:szCs w:val="22"/>
              </w:rPr>
            </w:pPr>
            <w:r w:rsidRPr="00800E54">
              <w:rPr>
                <w:sz w:val="22"/>
                <w:szCs w:val="22"/>
              </w:rPr>
              <w:t>USA</w:t>
            </w:r>
          </w:p>
        </w:tc>
        <w:tc>
          <w:tcPr>
            <w:tcW w:w="1000" w:type="pct"/>
            <w:vAlign w:val="center"/>
          </w:tcPr>
          <w:p w:rsidR="00003A61" w:rsidRPr="00800E54" w:rsidRDefault="00003A61" w:rsidP="00A51AEF">
            <w:pPr>
              <w:pStyle w:val="Tabletext"/>
              <w:rPr>
                <w:sz w:val="22"/>
                <w:szCs w:val="22"/>
              </w:rPr>
            </w:pPr>
            <w:r w:rsidRPr="00800E54">
              <w:rPr>
                <w:sz w:val="22"/>
                <w:szCs w:val="22"/>
              </w:rPr>
              <w:t>2.0</w:t>
            </w:r>
          </w:p>
        </w:tc>
        <w:tc>
          <w:tcPr>
            <w:tcW w:w="1000" w:type="pct"/>
            <w:vAlign w:val="center"/>
          </w:tcPr>
          <w:p w:rsidR="00003A61" w:rsidRPr="00800E54" w:rsidRDefault="00003A61" w:rsidP="00A51AEF">
            <w:pPr>
              <w:pStyle w:val="Tabletext"/>
              <w:rPr>
                <w:sz w:val="22"/>
                <w:szCs w:val="22"/>
              </w:rPr>
            </w:pPr>
            <w:r w:rsidRPr="00800E54">
              <w:rPr>
                <w:sz w:val="22"/>
                <w:szCs w:val="22"/>
              </w:rPr>
              <w:t>68.6</w:t>
            </w:r>
          </w:p>
        </w:tc>
        <w:tc>
          <w:tcPr>
            <w:tcW w:w="1000" w:type="pct"/>
            <w:tcBorders>
              <w:right w:val="nil"/>
            </w:tcBorders>
            <w:vAlign w:val="center"/>
          </w:tcPr>
          <w:p w:rsidR="00003A61" w:rsidRPr="00800E54" w:rsidRDefault="00003A61" w:rsidP="00A51AEF">
            <w:pPr>
              <w:pStyle w:val="Tabletext"/>
              <w:rPr>
                <w:sz w:val="22"/>
                <w:szCs w:val="22"/>
              </w:rPr>
            </w:pPr>
            <w:r w:rsidRPr="00800E54">
              <w:rPr>
                <w:sz w:val="22"/>
                <w:szCs w:val="22"/>
              </w:rPr>
              <w:t>19.6</w:t>
            </w:r>
          </w:p>
        </w:tc>
      </w:tr>
    </w:tbl>
    <w:p w:rsidR="00003A61" w:rsidRPr="00800E54" w:rsidRDefault="00003A61" w:rsidP="00C904E2">
      <w:pPr>
        <w:ind w:firstLine="567"/>
        <w:rPr>
          <w:rFonts w:ascii="Times New Roman" w:hAnsi="Times New Roman"/>
          <w:sz w:val="24"/>
          <w:lang w:val="en-GB"/>
        </w:rPr>
      </w:pPr>
    </w:p>
    <w:p w:rsidR="00003A61" w:rsidRPr="00800E54" w:rsidRDefault="00003A61" w:rsidP="00C904E2">
      <w:pPr>
        <w:ind w:firstLine="567"/>
        <w:rPr>
          <w:rFonts w:ascii="Times New Roman" w:hAnsi="Times New Roman"/>
          <w:sz w:val="24"/>
          <w:lang w:val="en-GB"/>
        </w:rPr>
      </w:pPr>
    </w:p>
    <w:p w:rsidR="00003A61" w:rsidRPr="00800E54" w:rsidRDefault="00003A61" w:rsidP="00C904E2">
      <w:pPr>
        <w:ind w:firstLine="567"/>
        <w:rPr>
          <w:rFonts w:ascii="Times New Roman" w:hAnsi="Times New Roman"/>
          <w:sz w:val="24"/>
          <w:lang w:val="en-GB"/>
        </w:rPr>
      </w:pPr>
      <w:r w:rsidRPr="00800E54">
        <w:rPr>
          <w:rFonts w:ascii="Times New Roman" w:hAnsi="Times New Roman"/>
          <w:sz w:val="24"/>
          <w:lang w:val="en-GB"/>
        </w:rPr>
        <w:t>Replies arrive from 25 countries (namely Australia, Austria, Belgium, Canada, Chile, China, Czech, Denmark, France, Germany, Holland, Iran, Israel, Italy, Japan, Mexico, Netherlands, New Zealand, Norway, Portugal, Spain, Sweden, Switzerland, UK, USA). UK and Italy are more represented than other target countries (Figure 2). Respondents can be considered expert transit users: 70.0% travel by public transport 2-3 times a week or more.</w:t>
      </w:r>
    </w:p>
    <w:p w:rsidR="00003A61" w:rsidRPr="00800E54" w:rsidRDefault="00003A61" w:rsidP="00C904E2">
      <w:pPr>
        <w:ind w:firstLine="567"/>
        <w:rPr>
          <w:rFonts w:ascii="Times New Roman" w:hAnsi="Times New Roman"/>
          <w:sz w:val="24"/>
          <w:lang w:val="en-GB"/>
        </w:rPr>
      </w:pPr>
    </w:p>
    <w:p w:rsidR="00003A61" w:rsidRPr="00800E54" w:rsidRDefault="00F100F1" w:rsidP="00F100F1">
      <w:pPr>
        <w:ind w:firstLine="567"/>
        <w:jc w:val="center"/>
        <w:rPr>
          <w:rFonts w:ascii="Times New Roman" w:hAnsi="Times New Roman"/>
          <w:sz w:val="24"/>
          <w:lang w:val="en-GB"/>
        </w:rPr>
      </w:pPr>
      <w:r w:rsidRPr="00800E54">
        <w:rPr>
          <w:rFonts w:ascii="Times New Roman" w:hAnsi="Times New Roman"/>
          <w:noProof/>
          <w:sz w:val="24"/>
          <w:lang w:val="en-GB" w:eastAsia="en-GB"/>
        </w:rPr>
        <w:lastRenderedPageBreak/>
        <w:drawing>
          <wp:inline distT="0" distB="0" distL="0" distR="0" wp14:anchorId="6487C3BC" wp14:editId="476D0080">
            <wp:extent cx="3600000" cy="2885737"/>
            <wp:effectExtent l="19050" t="0" r="45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600000" cy="2885737"/>
                    </a:xfrm>
                    <a:prstGeom prst="rect">
                      <a:avLst/>
                    </a:prstGeom>
                    <a:noFill/>
                    <a:ln w="9525">
                      <a:noFill/>
                      <a:miter lim="800000"/>
                      <a:headEnd/>
                      <a:tailEnd/>
                    </a:ln>
                  </pic:spPr>
                </pic:pic>
              </a:graphicData>
            </a:graphic>
          </wp:inline>
        </w:drawing>
      </w:r>
    </w:p>
    <w:p w:rsidR="00F100F1" w:rsidRPr="00800E54" w:rsidRDefault="00F100F1" w:rsidP="00F100F1">
      <w:pPr>
        <w:jc w:val="center"/>
        <w:outlineLvl w:val="0"/>
        <w:rPr>
          <w:rFonts w:ascii="Times New Roman" w:hAnsi="Times New Roman"/>
          <w:sz w:val="24"/>
          <w:lang w:val="en-GB"/>
        </w:rPr>
      </w:pPr>
      <w:r w:rsidRPr="00800E54">
        <w:rPr>
          <w:rFonts w:ascii="Times New Roman" w:hAnsi="Times New Roman"/>
          <w:sz w:val="24"/>
          <w:lang w:val="en-GB"/>
        </w:rPr>
        <w:t>Figure 2. Country of origin of the respondents</w:t>
      </w:r>
    </w:p>
    <w:p w:rsidR="00003A61" w:rsidRPr="00800E54" w:rsidRDefault="00003A61" w:rsidP="00C904E2">
      <w:pPr>
        <w:ind w:firstLine="567"/>
        <w:rPr>
          <w:rFonts w:ascii="Times New Roman" w:hAnsi="Times New Roman"/>
          <w:sz w:val="24"/>
          <w:lang w:val="en-GB"/>
        </w:rPr>
      </w:pPr>
    </w:p>
    <w:p w:rsidR="00F100F1" w:rsidRPr="00800E54" w:rsidRDefault="00F100F1" w:rsidP="00C904E2">
      <w:pPr>
        <w:ind w:firstLine="567"/>
        <w:rPr>
          <w:rFonts w:ascii="Times New Roman" w:hAnsi="Times New Roman"/>
          <w:sz w:val="24"/>
          <w:lang w:val="en-GB"/>
        </w:rPr>
      </w:pPr>
    </w:p>
    <w:p w:rsidR="00F100F1" w:rsidRPr="00800E54" w:rsidRDefault="00F100F1" w:rsidP="00F100F1">
      <w:pPr>
        <w:ind w:firstLine="567"/>
        <w:rPr>
          <w:rFonts w:ascii="Times New Roman" w:hAnsi="Times New Roman"/>
          <w:sz w:val="24"/>
          <w:lang w:val="en-GB"/>
        </w:rPr>
      </w:pPr>
      <w:r w:rsidRPr="00800E54">
        <w:rPr>
          <w:rFonts w:ascii="Times New Roman" w:hAnsi="Times New Roman"/>
          <w:sz w:val="24"/>
          <w:lang w:val="en-GB"/>
        </w:rPr>
        <w:t>The sample is clearly biased as to age, gender, and occupation of respondents. The choice of the web as platform for the survey could have brought forward a bias towards lower values in the age distribution. The gender split could have been influenced by the choice of the mailing lists addressed to distribute the survey: Most of them are in the engineering field, where, in some places, the male workforce is still predominant. Also the very low number of not employed, self</w:t>
      </w:r>
      <w:r w:rsidR="00800E54">
        <w:rPr>
          <w:rFonts w:ascii="Times New Roman" w:hAnsi="Times New Roman" w:hint="eastAsia"/>
          <w:sz w:val="24"/>
          <w:lang w:val="en-GB"/>
        </w:rPr>
        <w:t>-</w:t>
      </w:r>
      <w:r w:rsidRPr="00800E54">
        <w:rPr>
          <w:rFonts w:ascii="Times New Roman" w:hAnsi="Times New Roman"/>
          <w:sz w:val="24"/>
          <w:lang w:val="en-GB"/>
        </w:rPr>
        <w:t>employed and retired people is probably due to the way in which the survey was publicised. The lack of knowledge about the socio-demographics characteristics of public transport users in geographically and socially distant contexts such as those surveyed prevents from evaluating the representativeness of the sample, which in any case is extremely small compared to the whole population of the public transport users. However because of the exploratory nature of the survey it is deemed that even a sample not completely representative from the demographic point of view can grant useful results. This is somehow equivalent to assume that the behavioural characteristics we are interested in are not affected by demographics; consequently they have been not included in the models interpreting choice flexibility.</w:t>
      </w:r>
    </w:p>
    <w:p w:rsidR="00F100F1" w:rsidRPr="00800E54" w:rsidRDefault="00F100F1" w:rsidP="00F100F1">
      <w:pPr>
        <w:ind w:firstLine="567"/>
        <w:rPr>
          <w:rFonts w:ascii="Times New Roman" w:hAnsi="Times New Roman"/>
          <w:sz w:val="24"/>
          <w:lang w:val="en-GB"/>
        </w:rPr>
      </w:pPr>
      <w:r w:rsidRPr="00800E54">
        <w:rPr>
          <w:rFonts w:ascii="Times New Roman" w:hAnsi="Times New Roman"/>
          <w:sz w:val="24"/>
          <w:lang w:val="en-GB"/>
        </w:rPr>
        <w:t>The high proportion of transit users is probably another bias of our sample, but it is intentional because our rationale is that, if even “experts” do not consider complex route choice strategies, occasional public transport users will even less. Travel behaviour and experience are strictly related, and both depend on the features of the transport system with which the user is familiar: e.g., it is reasonable to expect the travellers whose experience is limited to low frequency services or to systems with few overlapping lines to be less prone to consider multiple path alternatives in their decision making process, even though they are familiar with public transport. This can be an issue when people are aggregated at a world level: Combining respondents with different experiences, without any kind of sample selection, might give rise to biased and difficult to interpret results. On the other side such a large geographic scale is helpful to capture behaviour invariants, if they exist, which is one aim of the present paper.</w:t>
      </w:r>
    </w:p>
    <w:p w:rsidR="00F100F1" w:rsidRPr="00800E54" w:rsidRDefault="00F100F1" w:rsidP="00C904E2">
      <w:pPr>
        <w:ind w:firstLine="567"/>
        <w:rPr>
          <w:rFonts w:ascii="Times New Roman" w:hAnsi="Times New Roman"/>
          <w:sz w:val="24"/>
          <w:lang w:val="en-GB"/>
        </w:rPr>
      </w:pPr>
    </w:p>
    <w:p w:rsidR="001B46BD" w:rsidRPr="00800E54" w:rsidRDefault="001B46BD" w:rsidP="00C904E2">
      <w:pPr>
        <w:ind w:firstLine="567"/>
        <w:rPr>
          <w:rFonts w:ascii="Times New Roman" w:hAnsi="Times New Roman"/>
          <w:sz w:val="24"/>
          <w:lang w:val="en-GB"/>
        </w:rPr>
      </w:pPr>
    </w:p>
    <w:p w:rsidR="00F100F1" w:rsidRPr="00800E54" w:rsidRDefault="00F100F1" w:rsidP="00C904E2">
      <w:pPr>
        <w:ind w:firstLine="567"/>
        <w:rPr>
          <w:rFonts w:ascii="Times New Roman" w:hAnsi="Times New Roman"/>
          <w:sz w:val="24"/>
          <w:lang w:val="en-GB"/>
        </w:rPr>
      </w:pPr>
    </w:p>
    <w:p w:rsidR="001E6776" w:rsidRPr="00800E54" w:rsidRDefault="00F100F1" w:rsidP="001E6776">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lastRenderedPageBreak/>
        <w:t>3</w:t>
      </w:r>
      <w:r w:rsidR="001E6776" w:rsidRPr="00800E54">
        <w:rPr>
          <w:rFonts w:ascii="Times New Roman" w:hAnsi="Times New Roman"/>
          <w:b/>
          <w:kern w:val="0"/>
          <w:sz w:val="24"/>
          <w:lang w:val="en-GB"/>
        </w:rPr>
        <w:t>. P</w:t>
      </w:r>
      <w:r w:rsidRPr="00800E54">
        <w:rPr>
          <w:rFonts w:ascii="Times New Roman" w:hAnsi="Times New Roman"/>
          <w:b/>
          <w:kern w:val="0"/>
          <w:sz w:val="24"/>
          <w:lang w:val="en-GB"/>
        </w:rPr>
        <w:t xml:space="preserve">REVIOUS </w:t>
      </w:r>
      <w:r w:rsidR="002E57E1" w:rsidRPr="00800E54">
        <w:rPr>
          <w:rFonts w:ascii="Times New Roman" w:hAnsi="Times New Roman"/>
          <w:b/>
          <w:kern w:val="0"/>
          <w:sz w:val="24"/>
          <w:lang w:val="en-GB"/>
        </w:rPr>
        <w:t>ANALYSES</w:t>
      </w:r>
    </w:p>
    <w:p w:rsidR="00DF13AE" w:rsidRPr="00800E54" w:rsidRDefault="00DF13AE" w:rsidP="00153F2B">
      <w:pPr>
        <w:autoSpaceDE w:val="0"/>
        <w:autoSpaceDN w:val="0"/>
        <w:adjustRightInd w:val="0"/>
        <w:rPr>
          <w:rFonts w:ascii="Times New Roman" w:hAnsi="Times New Roman"/>
          <w:b/>
          <w:kern w:val="0"/>
          <w:sz w:val="24"/>
          <w:lang w:val="en-GB"/>
        </w:rPr>
      </w:pPr>
    </w:p>
    <w:p w:rsidR="00DF13AE" w:rsidRPr="00800E54" w:rsidRDefault="00DF13AE" w:rsidP="00153F2B">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 xml:space="preserve">3.1 </w:t>
      </w:r>
      <w:r w:rsidRPr="00800E54">
        <w:rPr>
          <w:rFonts w:ascii="Times New Roman" w:eastAsia="MS PGothic" w:hAnsi="Times New Roman"/>
          <w:b/>
          <w:bCs/>
          <w:kern w:val="0"/>
          <w:sz w:val="24"/>
          <w:lang w:val="en-GB"/>
        </w:rPr>
        <w:t>Basic Structure</w:t>
      </w:r>
    </w:p>
    <w:p w:rsidR="00153F2B" w:rsidRPr="00800E54" w:rsidRDefault="00153F2B" w:rsidP="00153F2B">
      <w:pPr>
        <w:tabs>
          <w:tab w:val="left" w:pos="993"/>
        </w:tabs>
        <w:rPr>
          <w:rFonts w:ascii="Times New Roman" w:hAnsi="Times New Roman"/>
          <w:sz w:val="24"/>
          <w:lang w:val="en-GB"/>
        </w:rPr>
      </w:pPr>
    </w:p>
    <w:p w:rsidR="00F100F1" w:rsidRPr="00800E54" w:rsidRDefault="00F100F1" w:rsidP="00F100F1">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This study continues the work of Fonzone et al (2010) and Kurauchi et al (2012a) in which the results of RP and SP sections respectively are analysed in relation to the characteristic of the demand class of the respondents. Demand classes are defined in terms of respondent’s personal characteristics and trip characteristics. Although our sample is clearly biased towards the young, male expert public transport users in a few selected countries, we believe that some important observations are made.</w:t>
      </w:r>
    </w:p>
    <w:p w:rsidR="00F100F1" w:rsidRPr="00800E54" w:rsidRDefault="00F100F1" w:rsidP="00F100F1">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To support the conclusions of this paper, the main findings of the previous analyses are summarised here. The reader is referred to the original works for a comprehensive description of questions and answers and for details on the analysis.</w:t>
      </w:r>
    </w:p>
    <w:p w:rsidR="00F100F1" w:rsidRPr="00800E54" w:rsidRDefault="00F100F1" w:rsidP="00F100F1">
      <w:pPr>
        <w:tabs>
          <w:tab w:val="left" w:pos="993"/>
        </w:tabs>
        <w:rPr>
          <w:rFonts w:ascii="Times New Roman" w:hAnsi="Times New Roman"/>
          <w:sz w:val="24"/>
          <w:lang w:val="en-GB"/>
        </w:rPr>
      </w:pPr>
    </w:p>
    <w:p w:rsidR="00F100F1" w:rsidRPr="00800E54" w:rsidRDefault="00F100F1" w:rsidP="00F100F1">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3.</w:t>
      </w:r>
      <w:r w:rsidR="006F2E74">
        <w:rPr>
          <w:rFonts w:ascii="Times New Roman" w:hAnsi="Times New Roman"/>
          <w:b/>
          <w:kern w:val="0"/>
          <w:sz w:val="24"/>
          <w:lang w:val="en-GB"/>
        </w:rPr>
        <w:t>2</w:t>
      </w:r>
      <w:r w:rsidR="006F2E74" w:rsidRPr="00800E54">
        <w:rPr>
          <w:rFonts w:ascii="Times New Roman" w:hAnsi="Times New Roman"/>
          <w:b/>
          <w:kern w:val="0"/>
          <w:sz w:val="24"/>
          <w:lang w:val="en-GB"/>
        </w:rPr>
        <w:t xml:space="preserve"> </w:t>
      </w:r>
      <w:r w:rsidR="002E57E1" w:rsidRPr="00800E54">
        <w:rPr>
          <w:rFonts w:ascii="Times New Roman" w:eastAsia="MS PGothic" w:hAnsi="Times New Roman"/>
          <w:b/>
          <w:bCs/>
          <w:kern w:val="0"/>
          <w:sz w:val="24"/>
          <w:lang w:val="en-GB"/>
        </w:rPr>
        <w:t>Actual Behaviour (Fonzone et al, 2010)</w:t>
      </w:r>
    </w:p>
    <w:p w:rsidR="00F100F1" w:rsidRPr="00800E54" w:rsidRDefault="00F100F1" w:rsidP="00F100F1">
      <w:pPr>
        <w:tabs>
          <w:tab w:val="left" w:pos="993"/>
        </w:tabs>
        <w:rPr>
          <w:rFonts w:ascii="Times New Roman" w:hAnsi="Times New Roman"/>
          <w:sz w:val="24"/>
          <w:lang w:val="en-GB"/>
        </w:rPr>
      </w:pPr>
    </w:p>
    <w:p w:rsidR="00F100F1" w:rsidRPr="00800E54" w:rsidRDefault="00F100F1" w:rsidP="00F100F1">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We observe that trip itineraries are not fixed in most cases supporting the argument to model route choice as a “hyperpath” and not as choice of a single alternative. However, the tendency to consider more lines at a given stop is not so pronounced; this is equivalent to say that the attractive choice sets at stops tend to be made up of just a single line. It might be rather the stop or platform choice of passengers that should be modelled as a hyperpath. Moreover the most frequent kind of change concerns the departure stop/station, whose choice is often ignored by models. This can be interpreted as an indication that usually transit network representations are assumed which are not consistent with travellers’ mental maps. A greater consideration of the importance of anchor points in transit modelling seems to be endorsed by the results of the survey.</w:t>
      </w:r>
    </w:p>
    <w:p w:rsidR="00F100F1" w:rsidRPr="00800E54" w:rsidRDefault="00F100F1" w:rsidP="00F100F1">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Very few respondents have explicit knowledge about service timetables and frequencies at all the transfer points of their reported trips, even though these are usual trips and only rarely entail more than two changes. However, this does not prevent people from modifying their itineraries quite often. Therefore the alternatives actually considered by public transport users might be different from those derived from the assumption of perfect information and crucially depending on complexity of the network and on the effects of learning by repetition (reinforcement). A possibly counterintuitive hint on the role of reinforcement in the way transit users deal with network representation comes from the relation between the existence of the attitude to change and the information. One would expect that more information provides the traveller with a larger set of options. Instead analysis of a set of logistic models seems to indicate that the travellers with more information on service departure times have a weaker attitude to change. The results further suggest that those who (perceive to) have an adequate knowledge of the network (and so do not use any information sources) are those most likely to change their route. Taking these results together, one might conclude that information and day-to-day learning tends to lead to a rather fixed, simpler route set considered by travellers. However such result cannot be considered conclusive both because in our analysis different specifications of the models bring about considerably different results, and because the argument could be reversed by saying that less information is needed when systems are simpler.</w:t>
      </w:r>
    </w:p>
    <w:p w:rsidR="00F100F1" w:rsidRPr="00800E54" w:rsidRDefault="00F100F1" w:rsidP="00F100F1">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 xml:space="preserve">A lack of explicit and/or implicitly accumulated knowledge can be compensated by relying on information sources, but the </w:t>
      </w:r>
      <w:r w:rsidR="00D310AE" w:rsidRPr="00800E54">
        <w:rPr>
          <w:rFonts w:ascii="Times New Roman" w:hAnsi="Times New Roman"/>
          <w:sz w:val="24"/>
          <w:lang w:val="en-GB"/>
        </w:rPr>
        <w:t xml:space="preserve">survey shows that </w:t>
      </w:r>
      <w:r w:rsidRPr="00800E54">
        <w:rPr>
          <w:rFonts w:ascii="Times New Roman" w:hAnsi="Times New Roman"/>
          <w:sz w:val="24"/>
          <w:lang w:val="en-GB"/>
        </w:rPr>
        <w:t xml:space="preserve">information systems in use at the moment do not foster rational </w:t>
      </w:r>
      <w:r w:rsidR="00D310AE" w:rsidRPr="00800E54">
        <w:rPr>
          <w:rFonts w:ascii="Times New Roman" w:hAnsi="Times New Roman"/>
          <w:sz w:val="24"/>
          <w:lang w:val="en-GB"/>
        </w:rPr>
        <w:t>time dependent choices</w:t>
      </w:r>
      <w:r w:rsidRPr="00800E54">
        <w:rPr>
          <w:rFonts w:ascii="Times New Roman" w:hAnsi="Times New Roman"/>
          <w:sz w:val="24"/>
          <w:lang w:val="en-GB"/>
        </w:rPr>
        <w:t xml:space="preserve">, because they often consider only a partial and deterministic network. Most information systems do not assist travellers in the </w:t>
      </w:r>
      <w:r w:rsidRPr="00800E54">
        <w:rPr>
          <w:rFonts w:ascii="Times New Roman" w:hAnsi="Times New Roman"/>
          <w:sz w:val="24"/>
          <w:lang w:val="en-GB"/>
        </w:rPr>
        <w:lastRenderedPageBreak/>
        <w:t xml:space="preserve">calculation of shortest paths/hyperpaths (timetables and displays), or they provide travellers with suggestions on alternative single paths – which assume no variance in service times or frequencies – and cannot be updated according to the real time conditions (on line journey planners at home). </w:t>
      </w:r>
    </w:p>
    <w:p w:rsidR="00F100F1" w:rsidRPr="00800E54" w:rsidRDefault="00F100F1" w:rsidP="00F100F1">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The models built to explain the existence of an attitude to change show that it correlates in a significant way to the intrinsic characteristics of the trip (duration on average, expected and feared excess travel, minimum number of changes) and to the meaning of the trip itself to the traveller (purpose and importance of punctuality). A positive effect on the existence of the attitude is proved for the expected excess trip time, the minimum number of changes and, with some caveats, the relevance of on-time arrivals. Such findings contradict the assumption usually underpinning transit modelling that the travel behaviour is irrespective of the trip characteristics (e.g. in determining a hyperpath a line is added to a choice set even if this causes a very small reduction of expected travel time in an already short trip) and supports the development of models considering expectations, regret, fuzzy decision criteria and multiclass users.</w:t>
      </w:r>
    </w:p>
    <w:p w:rsidR="00F100F1" w:rsidRPr="00800E54" w:rsidRDefault="00F100F1" w:rsidP="00F100F1">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The minimum number of changes is an indicator of the complexity of a trip and it is reasonable to assume that its positive influence onto the attitude to change is due mainly to the fact that more compulsory changes mean more chances of not compulsory changes. But given that the investigated dimensions of changes include also type of changes not related to intermediate stops (i.e. changing departure point and changing an already boarded line), the finding can admit also another explanation: The existence of “dynamic” travellers, who become "fitter to changes" because of "training". It is a suggestive hypothesis worth being tested, which does not contrast with the widely accepted idea that changes are associated with costs, because it has to do with an attitude which can be more or less exerted depending on the characteristics of the system used by a traveller.</w:t>
      </w:r>
    </w:p>
    <w:p w:rsidR="00F100F1" w:rsidRPr="00800E54" w:rsidRDefault="00F100F1" w:rsidP="00D310AE">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The link between vehicle overcrowding and higher frequency of change is expected and calls for the introduction of seat availability information in route choice and assignment models. As with other tentative conclusions in this analysis one might however qualify this argument by the observation that the most crowded cities in our sample are also the ones with the highest number of route options.</w:t>
      </w:r>
    </w:p>
    <w:p w:rsidR="00F100F1" w:rsidRPr="00800E54" w:rsidRDefault="00F100F1" w:rsidP="00F100F1">
      <w:pPr>
        <w:tabs>
          <w:tab w:val="left" w:pos="993"/>
        </w:tabs>
        <w:rPr>
          <w:rFonts w:ascii="Times New Roman" w:hAnsi="Times New Roman"/>
          <w:sz w:val="24"/>
          <w:lang w:val="en-GB"/>
        </w:rPr>
      </w:pPr>
    </w:p>
    <w:p w:rsidR="00F100F1" w:rsidRPr="00800E54" w:rsidRDefault="00F100F1" w:rsidP="00F100F1">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3.</w:t>
      </w:r>
      <w:r w:rsidR="006F2E74">
        <w:rPr>
          <w:rFonts w:ascii="Times New Roman" w:hAnsi="Times New Roman"/>
          <w:b/>
          <w:kern w:val="0"/>
          <w:sz w:val="24"/>
          <w:lang w:val="en-GB"/>
        </w:rPr>
        <w:t>3</w:t>
      </w:r>
      <w:r w:rsidR="006F2E74" w:rsidRPr="00800E54">
        <w:rPr>
          <w:rFonts w:ascii="Times New Roman" w:hAnsi="Times New Roman"/>
          <w:b/>
          <w:kern w:val="0"/>
          <w:sz w:val="24"/>
          <w:lang w:val="en-GB"/>
        </w:rPr>
        <w:t xml:space="preserve"> </w:t>
      </w:r>
      <w:r w:rsidRPr="00800E54">
        <w:rPr>
          <w:rFonts w:ascii="Times New Roman" w:eastAsia="MS PGothic" w:hAnsi="Times New Roman"/>
          <w:b/>
          <w:bCs/>
          <w:kern w:val="0"/>
          <w:sz w:val="24"/>
          <w:lang w:val="en-GB"/>
        </w:rPr>
        <w:t>Stated Behaviour (Kurauchi et al., 2012a)</w:t>
      </w:r>
    </w:p>
    <w:p w:rsidR="00F100F1" w:rsidRPr="00800E54" w:rsidRDefault="00F100F1" w:rsidP="00F100F1">
      <w:pPr>
        <w:tabs>
          <w:tab w:val="left" w:pos="993"/>
        </w:tabs>
        <w:rPr>
          <w:rFonts w:ascii="Times New Roman" w:hAnsi="Times New Roman"/>
          <w:sz w:val="24"/>
          <w:lang w:val="en-GB"/>
        </w:rPr>
      </w:pPr>
    </w:p>
    <w:p w:rsidR="00F100F1" w:rsidRPr="00800E54" w:rsidRDefault="00D310AE" w:rsidP="00AC7665">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In Kurauchi et al (2012a) h</w:t>
      </w:r>
      <w:r w:rsidR="00AC7665" w:rsidRPr="00800E54">
        <w:rPr>
          <w:rFonts w:ascii="Times New Roman" w:hAnsi="Times New Roman"/>
          <w:sz w:val="24"/>
          <w:lang w:val="en-GB"/>
        </w:rPr>
        <w:t>yperpath selection is formulated as a discrete choice model and the relative weights for in-vehicle time, waiting time and the number of transfers are estimated.</w:t>
      </w:r>
      <w:r w:rsidR="00893EDF" w:rsidRPr="00800E54">
        <w:rPr>
          <w:rFonts w:ascii="Times New Roman" w:hAnsi="Times New Roman"/>
          <w:sz w:val="24"/>
          <w:lang w:val="en-GB"/>
        </w:rPr>
        <w:t xml:space="preserve"> </w:t>
      </w:r>
      <w:r w:rsidR="00AC7665" w:rsidRPr="00800E54">
        <w:rPr>
          <w:rFonts w:ascii="Times New Roman" w:hAnsi="Times New Roman"/>
          <w:sz w:val="24"/>
          <w:lang w:val="en-GB"/>
        </w:rPr>
        <w:t xml:space="preserve">Table 3 summarises estimation result of </w:t>
      </w:r>
      <w:r w:rsidR="00F52EC0" w:rsidRPr="00800E54">
        <w:rPr>
          <w:rFonts w:ascii="Times New Roman" w:hAnsi="Times New Roman"/>
          <w:sz w:val="24"/>
          <w:lang w:val="en-GB"/>
        </w:rPr>
        <w:t xml:space="preserve">a </w:t>
      </w:r>
      <w:r w:rsidR="00AC7665" w:rsidRPr="00800E54">
        <w:rPr>
          <w:rFonts w:ascii="Times New Roman" w:hAnsi="Times New Roman"/>
          <w:sz w:val="24"/>
          <w:lang w:val="en-GB"/>
        </w:rPr>
        <w:t xml:space="preserve">cross-nested </w:t>
      </w:r>
      <w:r w:rsidR="00F52EC0" w:rsidRPr="00800E54">
        <w:rPr>
          <w:rFonts w:ascii="Times New Roman" w:hAnsi="Times New Roman"/>
          <w:sz w:val="24"/>
          <w:lang w:val="en-GB"/>
        </w:rPr>
        <w:t xml:space="preserve">logit </w:t>
      </w:r>
      <w:r w:rsidR="00AC7665" w:rsidRPr="00800E54">
        <w:rPr>
          <w:rFonts w:ascii="Times New Roman" w:hAnsi="Times New Roman"/>
          <w:sz w:val="24"/>
          <w:lang w:val="en-GB"/>
        </w:rPr>
        <w:t xml:space="preserve">model considering individual attributes. </w:t>
      </w:r>
      <w:r w:rsidR="00893EDF" w:rsidRPr="00800E54">
        <w:rPr>
          <w:rFonts w:ascii="Times New Roman" w:hAnsi="Times New Roman"/>
          <w:sz w:val="24"/>
          <w:lang w:val="en-GB"/>
        </w:rPr>
        <w:t xml:space="preserve">The </w:t>
      </w:r>
      <w:r w:rsidR="009012BC" w:rsidRPr="00800E54">
        <w:rPr>
          <w:rFonts w:ascii="Times New Roman" w:hAnsi="Times New Roman"/>
          <w:sz w:val="24"/>
          <w:lang w:val="en-GB"/>
        </w:rPr>
        <w:t xml:space="preserve">nests of the model are the hyperpaths </w:t>
      </w:r>
      <w:r w:rsidR="00877931">
        <w:rPr>
          <w:rFonts w:ascii="Times New Roman" w:hAnsi="Times New Roman"/>
          <w:sz w:val="24"/>
          <w:lang w:val="en-GB"/>
        </w:rPr>
        <w:t>corresponding to different strategies, each of which may</w:t>
      </w:r>
      <w:r w:rsidR="009012BC" w:rsidRPr="00800E54">
        <w:rPr>
          <w:rFonts w:ascii="Times New Roman" w:hAnsi="Times New Roman"/>
          <w:sz w:val="24"/>
          <w:lang w:val="en-GB"/>
        </w:rPr>
        <w:t xml:space="preserve"> include</w:t>
      </w:r>
      <w:r w:rsidR="00877931">
        <w:rPr>
          <w:rFonts w:ascii="Times New Roman" w:hAnsi="Times New Roman"/>
          <w:sz w:val="24"/>
          <w:lang w:val="en-GB"/>
        </w:rPr>
        <w:t xml:space="preserve"> one or two single lines</w:t>
      </w:r>
      <w:r w:rsidR="009012BC" w:rsidRPr="00800E54">
        <w:rPr>
          <w:rFonts w:ascii="Times New Roman" w:hAnsi="Times New Roman"/>
          <w:sz w:val="24"/>
          <w:lang w:val="en-GB"/>
        </w:rPr>
        <w:t xml:space="preserve">. </w:t>
      </w:r>
      <w:r w:rsidR="00684648" w:rsidRPr="00800E54">
        <w:rPr>
          <w:rFonts w:ascii="Times New Roman" w:hAnsi="Times New Roman"/>
          <w:sz w:val="24"/>
          <w:lang w:val="en-GB"/>
        </w:rPr>
        <w:t>The model becomes cross</w:t>
      </w:r>
      <w:r w:rsidR="007E315D">
        <w:rPr>
          <w:rFonts w:ascii="Times New Roman" w:hAnsi="Times New Roman" w:hint="eastAsia"/>
          <w:sz w:val="24"/>
          <w:lang w:val="en-GB"/>
        </w:rPr>
        <w:t>-</w:t>
      </w:r>
      <w:r w:rsidR="00684648" w:rsidRPr="00800E54">
        <w:rPr>
          <w:rFonts w:ascii="Times New Roman" w:hAnsi="Times New Roman"/>
          <w:sz w:val="24"/>
          <w:lang w:val="en-GB"/>
        </w:rPr>
        <w:t xml:space="preserve">nested as lines belong to more than one nest. For example one strategy is “take the fastest line” but also the strategy “take whichever line comes first” includes the fastest line. </w:t>
      </w:r>
      <w:r w:rsidR="009012BC" w:rsidRPr="00800E54">
        <w:rPr>
          <w:rFonts w:ascii="Times New Roman" w:hAnsi="Times New Roman"/>
          <w:sz w:val="24"/>
          <w:lang w:val="en-GB"/>
        </w:rPr>
        <w:t xml:space="preserve">The </w:t>
      </w:r>
      <w:r w:rsidR="00893EDF" w:rsidRPr="00800E54">
        <w:rPr>
          <w:rFonts w:ascii="Times New Roman" w:hAnsi="Times New Roman"/>
          <w:sz w:val="24"/>
          <w:lang w:val="en-GB"/>
        </w:rPr>
        <w:t xml:space="preserve">structural parameters of the model are </w:t>
      </w:r>
      <w:r w:rsidR="00C9399D" w:rsidRPr="00800E54">
        <w:rPr>
          <w:rFonts w:ascii="Times New Roman" w:hAnsi="Times New Roman"/>
          <w:sz w:val="24"/>
          <w:lang w:val="en-GB"/>
        </w:rPr>
        <w:t xml:space="preserve">significantly </w:t>
      </w:r>
      <w:r w:rsidR="00893EDF" w:rsidRPr="00800E54">
        <w:rPr>
          <w:rFonts w:ascii="Times New Roman" w:hAnsi="Times New Roman"/>
          <w:sz w:val="24"/>
          <w:lang w:val="en-GB"/>
        </w:rPr>
        <w:t>different from 1</w:t>
      </w:r>
      <w:r w:rsidR="009012BC" w:rsidRPr="00800E54">
        <w:rPr>
          <w:rFonts w:ascii="Times New Roman" w:hAnsi="Times New Roman"/>
          <w:sz w:val="24"/>
          <w:lang w:val="en-GB"/>
        </w:rPr>
        <w:t xml:space="preserve"> (lambda) and 0 and 1 (alpha) indicating the usefulness of this model formulation. The focus for this study is though on the difference of the weights among different user. It is found that p</w:t>
      </w:r>
      <w:r w:rsidR="00AC7665" w:rsidRPr="00800E54">
        <w:rPr>
          <w:rFonts w:ascii="Times New Roman" w:hAnsi="Times New Roman"/>
          <w:sz w:val="24"/>
          <w:lang w:val="en-GB"/>
        </w:rPr>
        <w:t>eople living</w:t>
      </w:r>
      <w:r w:rsidR="003A03D5" w:rsidRPr="00800E54">
        <w:rPr>
          <w:rFonts w:ascii="Times New Roman" w:hAnsi="Times New Roman"/>
          <w:sz w:val="24"/>
          <w:lang w:val="en-GB"/>
        </w:rPr>
        <w:t xml:space="preserve"> or working</w:t>
      </w:r>
      <w:r w:rsidR="00AC7665" w:rsidRPr="00800E54">
        <w:rPr>
          <w:rFonts w:ascii="Times New Roman" w:hAnsi="Times New Roman"/>
          <w:sz w:val="24"/>
          <w:lang w:val="en-GB"/>
        </w:rPr>
        <w:t xml:space="preserve"> in China seem to behave differently</w:t>
      </w:r>
      <w:r w:rsidR="003A03D5" w:rsidRPr="00800E54">
        <w:rPr>
          <w:rFonts w:ascii="Times New Roman" w:hAnsi="Times New Roman"/>
          <w:sz w:val="24"/>
          <w:lang w:val="en-GB"/>
        </w:rPr>
        <w:t>:</w:t>
      </w:r>
      <w:r w:rsidR="00AC7665" w:rsidRPr="00800E54">
        <w:rPr>
          <w:rFonts w:ascii="Times New Roman" w:hAnsi="Times New Roman"/>
          <w:sz w:val="24"/>
          <w:lang w:val="en-GB"/>
        </w:rPr>
        <w:t xml:space="preserve"> They do not care much about travel time, but dislike transfers. This may be because the </w:t>
      </w:r>
      <w:r w:rsidR="003A03D5" w:rsidRPr="00800E54">
        <w:rPr>
          <w:rFonts w:ascii="Times New Roman" w:hAnsi="Times New Roman"/>
          <w:sz w:val="24"/>
          <w:lang w:val="en-GB"/>
        </w:rPr>
        <w:t xml:space="preserve">design of </w:t>
      </w:r>
      <w:r w:rsidR="00AC7665" w:rsidRPr="00800E54">
        <w:rPr>
          <w:rFonts w:ascii="Times New Roman" w:hAnsi="Times New Roman"/>
          <w:sz w:val="24"/>
          <w:lang w:val="en-GB"/>
        </w:rPr>
        <w:t xml:space="preserve">public transportation facilities in China </w:t>
      </w:r>
      <w:r w:rsidR="003A03D5" w:rsidRPr="00800E54">
        <w:rPr>
          <w:rFonts w:ascii="Times New Roman" w:hAnsi="Times New Roman"/>
          <w:sz w:val="24"/>
          <w:lang w:val="en-GB"/>
        </w:rPr>
        <w:t xml:space="preserve">does not pay </w:t>
      </w:r>
      <w:r w:rsidR="00AC7665" w:rsidRPr="00800E54">
        <w:rPr>
          <w:rFonts w:ascii="Times New Roman" w:hAnsi="Times New Roman"/>
          <w:sz w:val="24"/>
          <w:lang w:val="en-GB"/>
        </w:rPr>
        <w:t>enough</w:t>
      </w:r>
      <w:r w:rsidR="003A03D5" w:rsidRPr="00800E54">
        <w:rPr>
          <w:rFonts w:ascii="Times New Roman" w:hAnsi="Times New Roman"/>
          <w:sz w:val="24"/>
          <w:lang w:val="en-GB"/>
        </w:rPr>
        <w:t xml:space="preserve"> attention to transferring</w:t>
      </w:r>
      <w:r w:rsidR="00AC7665" w:rsidRPr="00800E54">
        <w:rPr>
          <w:rFonts w:ascii="Times New Roman" w:hAnsi="Times New Roman"/>
          <w:sz w:val="24"/>
          <w:lang w:val="en-GB"/>
        </w:rPr>
        <w:t xml:space="preserve">. Regarding the experience of crowded train, people who sometimes </w:t>
      </w:r>
      <w:r w:rsidR="00893EDF" w:rsidRPr="00800E54">
        <w:rPr>
          <w:rFonts w:ascii="Times New Roman" w:hAnsi="Times New Roman"/>
          <w:sz w:val="24"/>
          <w:lang w:val="en-GB"/>
        </w:rPr>
        <w:t>experience extreme congestion in that they “</w:t>
      </w:r>
      <w:r w:rsidR="00AC7665" w:rsidRPr="00800E54">
        <w:rPr>
          <w:rFonts w:ascii="Times New Roman" w:hAnsi="Times New Roman"/>
          <w:sz w:val="24"/>
          <w:lang w:val="en-GB"/>
        </w:rPr>
        <w:t>fail to board</w:t>
      </w:r>
      <w:r w:rsidR="00893EDF" w:rsidRPr="00800E54">
        <w:rPr>
          <w:rFonts w:ascii="Times New Roman" w:hAnsi="Times New Roman"/>
          <w:sz w:val="24"/>
          <w:lang w:val="en-GB"/>
        </w:rPr>
        <w:t>”</w:t>
      </w:r>
      <w:r w:rsidR="00AC7665" w:rsidRPr="00800E54">
        <w:rPr>
          <w:rFonts w:ascii="Times New Roman" w:hAnsi="Times New Roman"/>
          <w:sz w:val="24"/>
          <w:lang w:val="en-GB"/>
        </w:rPr>
        <w:t xml:space="preserve"> put higher weight on travel time, waiting time, but lower weight on the number of transfers. </w:t>
      </w:r>
      <w:r w:rsidR="001D7274" w:rsidRPr="00800E54">
        <w:rPr>
          <w:rFonts w:ascii="Times New Roman" w:hAnsi="Times New Roman"/>
          <w:sz w:val="24"/>
          <w:lang w:val="en-GB"/>
        </w:rPr>
        <w:t>R</w:t>
      </w:r>
      <w:r w:rsidR="00AC7665" w:rsidRPr="00800E54">
        <w:rPr>
          <w:rFonts w:ascii="Times New Roman" w:hAnsi="Times New Roman"/>
          <w:sz w:val="24"/>
          <w:lang w:val="en-GB"/>
        </w:rPr>
        <w:t xml:space="preserve">espondents who experience uncertain travel times have higher on-board and weighting time values but value </w:t>
      </w:r>
      <w:r w:rsidR="00AC7665" w:rsidRPr="00800E54">
        <w:rPr>
          <w:rFonts w:ascii="Times New Roman" w:hAnsi="Times New Roman"/>
          <w:sz w:val="24"/>
          <w:lang w:val="en-GB"/>
        </w:rPr>
        <w:lastRenderedPageBreak/>
        <w:t xml:space="preserve">the number of transfers comparatively less. This is according to expectations as these passengers might “become easier </w:t>
      </w:r>
      <w:r w:rsidR="001D7274" w:rsidRPr="00800E54">
        <w:rPr>
          <w:rFonts w:ascii="Times New Roman" w:hAnsi="Times New Roman"/>
          <w:sz w:val="24"/>
          <w:lang w:val="en-GB"/>
        </w:rPr>
        <w:t>impatient</w:t>
      </w:r>
      <w:r w:rsidR="00AC7665" w:rsidRPr="00800E54">
        <w:rPr>
          <w:rFonts w:ascii="Times New Roman" w:hAnsi="Times New Roman"/>
          <w:sz w:val="24"/>
          <w:lang w:val="en-GB"/>
        </w:rPr>
        <w:t>” if waiting times and on-board travel times are longer.</w:t>
      </w:r>
    </w:p>
    <w:p w:rsidR="00F100F1" w:rsidRPr="00800E54" w:rsidRDefault="00F100F1" w:rsidP="00F100F1">
      <w:pPr>
        <w:tabs>
          <w:tab w:val="left" w:pos="993"/>
        </w:tabs>
        <w:rPr>
          <w:rFonts w:ascii="Times New Roman" w:hAnsi="Times New Roman"/>
          <w:sz w:val="24"/>
          <w:lang w:val="en-GB"/>
        </w:rPr>
      </w:pPr>
    </w:p>
    <w:p w:rsidR="00AC7665" w:rsidRPr="00800E54" w:rsidRDefault="00AC7665" w:rsidP="00AC7665">
      <w:pPr>
        <w:tabs>
          <w:tab w:val="left" w:pos="993"/>
        </w:tabs>
        <w:jc w:val="center"/>
        <w:rPr>
          <w:rFonts w:ascii="Times New Roman" w:hAnsi="Times New Roman"/>
          <w:sz w:val="24"/>
          <w:lang w:val="en-GB"/>
        </w:rPr>
      </w:pPr>
      <w:r w:rsidRPr="00800E54">
        <w:rPr>
          <w:rFonts w:ascii="Times New Roman" w:hAnsi="Times New Roman"/>
          <w:sz w:val="24"/>
          <w:lang w:val="en-GB"/>
        </w:rPr>
        <w:t>Table 3. Estimation result of Cross Nested Logit model</w:t>
      </w:r>
    </w:p>
    <w:p w:rsidR="00AC7665" w:rsidRPr="00800E54" w:rsidRDefault="00AC7665" w:rsidP="00AC7665">
      <w:pPr>
        <w:tabs>
          <w:tab w:val="left" w:pos="993"/>
        </w:tabs>
        <w:jc w:val="center"/>
        <w:rPr>
          <w:rFonts w:ascii="Times New Roman" w:hAnsi="Times New Roman"/>
          <w:sz w:val="24"/>
          <w:lang w:val="en-GB"/>
        </w:rPr>
      </w:pPr>
      <w:r w:rsidRPr="00800E54">
        <w:rPr>
          <w:rFonts w:ascii="Times New Roman" w:hAnsi="Times New Roman"/>
          <w:noProof/>
          <w:sz w:val="24"/>
          <w:lang w:val="en-GB" w:eastAsia="en-GB"/>
        </w:rPr>
        <w:drawing>
          <wp:inline distT="0" distB="0" distL="0" distR="0" wp14:anchorId="7B2F3D21" wp14:editId="5E490F80">
            <wp:extent cx="5715000" cy="3525908"/>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4328" cy="3525493"/>
                    </a:xfrm>
                    <a:prstGeom prst="rect">
                      <a:avLst/>
                    </a:prstGeom>
                    <a:noFill/>
                    <a:ln>
                      <a:noFill/>
                    </a:ln>
                  </pic:spPr>
                </pic:pic>
              </a:graphicData>
            </a:graphic>
          </wp:inline>
        </w:drawing>
      </w:r>
    </w:p>
    <w:p w:rsidR="00AC7665" w:rsidRPr="00800E54" w:rsidRDefault="00AC7665" w:rsidP="00F100F1">
      <w:pPr>
        <w:tabs>
          <w:tab w:val="left" w:pos="993"/>
        </w:tabs>
        <w:rPr>
          <w:rFonts w:ascii="Times New Roman" w:hAnsi="Times New Roman"/>
          <w:sz w:val="24"/>
          <w:lang w:val="en-GB"/>
        </w:rPr>
      </w:pPr>
    </w:p>
    <w:p w:rsidR="00AC7665" w:rsidRPr="00800E54" w:rsidRDefault="00AC7665" w:rsidP="00AC7665">
      <w:pPr>
        <w:tabs>
          <w:tab w:val="left" w:pos="993"/>
        </w:tabs>
        <w:ind w:firstLineChars="250" w:firstLine="600"/>
        <w:rPr>
          <w:rFonts w:ascii="Times New Roman" w:hAnsi="Times New Roman"/>
          <w:sz w:val="24"/>
          <w:lang w:val="en-GB"/>
        </w:rPr>
      </w:pPr>
      <w:r w:rsidRPr="00800E54">
        <w:rPr>
          <w:rFonts w:ascii="Times New Roman" w:hAnsi="Times New Roman"/>
          <w:sz w:val="24"/>
          <w:lang w:val="en-GB"/>
        </w:rPr>
        <w:t xml:space="preserve">Based on this result, </w:t>
      </w:r>
      <w:r w:rsidR="001D7274" w:rsidRPr="00800E54">
        <w:rPr>
          <w:rFonts w:ascii="Times New Roman" w:hAnsi="Times New Roman"/>
          <w:sz w:val="24"/>
          <w:lang w:val="en-GB"/>
        </w:rPr>
        <w:t>it can be</w:t>
      </w:r>
      <w:r w:rsidRPr="00800E54">
        <w:rPr>
          <w:rFonts w:ascii="Times New Roman" w:hAnsi="Times New Roman"/>
          <w:sz w:val="24"/>
          <w:lang w:val="en-GB"/>
        </w:rPr>
        <w:t xml:space="preserve"> conclude</w:t>
      </w:r>
      <w:r w:rsidR="001D7274" w:rsidRPr="00800E54">
        <w:rPr>
          <w:rFonts w:ascii="Times New Roman" w:hAnsi="Times New Roman"/>
          <w:sz w:val="24"/>
          <w:lang w:val="en-GB"/>
        </w:rPr>
        <w:t>d</w:t>
      </w:r>
      <w:r w:rsidRPr="00800E54">
        <w:rPr>
          <w:rFonts w:ascii="Times New Roman" w:hAnsi="Times New Roman"/>
          <w:sz w:val="24"/>
          <w:lang w:val="en-GB"/>
        </w:rPr>
        <w:t xml:space="preserve"> that individual attributes influence the hyperpath choice, but the explanatory variables used seem to be a ‘proxy’ of some hidden factors, which might be constructed by the experiences of using public transport. It is also apparent that some user attributes are correlated (e.g. there are few students over 60), and user grouping should be more carefully treated. Cluster analysis is one of the best techniques to categorise users and hence </w:t>
      </w:r>
      <w:r w:rsidR="001D7274" w:rsidRPr="00800E54">
        <w:rPr>
          <w:rFonts w:ascii="Times New Roman" w:hAnsi="Times New Roman"/>
          <w:sz w:val="24"/>
          <w:lang w:val="en-GB"/>
        </w:rPr>
        <w:t xml:space="preserve">it is </w:t>
      </w:r>
      <w:r w:rsidRPr="00800E54">
        <w:rPr>
          <w:rFonts w:ascii="Times New Roman" w:hAnsi="Times New Roman"/>
          <w:sz w:val="24"/>
          <w:lang w:val="en-GB"/>
        </w:rPr>
        <w:t>employed in the next Section.</w:t>
      </w:r>
    </w:p>
    <w:p w:rsidR="00AC7665" w:rsidRPr="00800E54" w:rsidRDefault="00AC7665" w:rsidP="00F100F1">
      <w:pPr>
        <w:tabs>
          <w:tab w:val="left" w:pos="993"/>
        </w:tabs>
        <w:rPr>
          <w:rFonts w:ascii="Times New Roman" w:hAnsi="Times New Roman"/>
          <w:sz w:val="24"/>
          <w:lang w:val="en-GB"/>
        </w:rPr>
      </w:pPr>
    </w:p>
    <w:p w:rsidR="00AC7665" w:rsidRPr="00800E54" w:rsidRDefault="00AC7665" w:rsidP="00DF13AE">
      <w:pPr>
        <w:rPr>
          <w:rFonts w:ascii="Times New Roman" w:hAnsi="Times New Roman"/>
          <w:b/>
          <w:sz w:val="24"/>
          <w:lang w:val="en-GB"/>
        </w:rPr>
      </w:pPr>
    </w:p>
    <w:p w:rsidR="00DF13AE" w:rsidRPr="00800E54" w:rsidRDefault="00DF13AE" w:rsidP="00DF13AE">
      <w:pPr>
        <w:rPr>
          <w:rFonts w:ascii="Times New Roman" w:hAnsi="Times New Roman"/>
          <w:b/>
          <w:sz w:val="24"/>
          <w:lang w:val="en-GB"/>
        </w:rPr>
      </w:pPr>
      <w:r w:rsidRPr="00800E54">
        <w:rPr>
          <w:rFonts w:ascii="Times New Roman" w:hAnsi="Times New Roman"/>
          <w:b/>
          <w:sz w:val="24"/>
          <w:lang w:val="en-GB"/>
        </w:rPr>
        <w:t xml:space="preserve">4. </w:t>
      </w:r>
      <w:r w:rsidR="00AC7665" w:rsidRPr="00800E54">
        <w:rPr>
          <w:rFonts w:ascii="Times New Roman" w:hAnsi="Times New Roman"/>
          <w:b/>
          <w:sz w:val="24"/>
          <w:lang w:val="en-GB"/>
        </w:rPr>
        <w:t>ROUTE CHOICE STRATEGIES AND DEMAND</w:t>
      </w:r>
    </w:p>
    <w:p w:rsidR="00DF13AE" w:rsidRPr="00800E54" w:rsidRDefault="00DF13AE" w:rsidP="00DF13AE">
      <w:pPr>
        <w:rPr>
          <w:rFonts w:ascii="Times New Roman" w:hAnsi="Times New Roman"/>
          <w:sz w:val="24"/>
          <w:lang w:val="en-GB"/>
        </w:rPr>
      </w:pPr>
    </w:p>
    <w:p w:rsidR="00AC7665" w:rsidRPr="00800E54" w:rsidRDefault="00AC7665" w:rsidP="00AC7665">
      <w:pPr>
        <w:widowControl/>
        <w:ind w:firstLineChars="250" w:firstLine="600"/>
        <w:rPr>
          <w:rFonts w:ascii="Times New Roman" w:hAnsi="Times New Roman"/>
          <w:sz w:val="24"/>
          <w:lang w:val="en-GB"/>
        </w:rPr>
      </w:pPr>
      <w:r w:rsidRPr="00800E54">
        <w:rPr>
          <w:rFonts w:ascii="Times New Roman" w:hAnsi="Times New Roman"/>
          <w:sz w:val="24"/>
          <w:lang w:val="en-GB"/>
        </w:rPr>
        <w:t xml:space="preserve">Previous studies have highlighted that the models traditionally used for route choice and assignment in transport networks (which consider all-or-nothing </w:t>
      </w:r>
      <w:r w:rsidR="001D7274" w:rsidRPr="00800E54">
        <w:rPr>
          <w:rFonts w:ascii="Times New Roman" w:hAnsi="Times New Roman"/>
          <w:sz w:val="24"/>
          <w:lang w:val="en-GB"/>
        </w:rPr>
        <w:t xml:space="preserve">or congested </w:t>
      </w:r>
      <w:r w:rsidRPr="00800E54">
        <w:rPr>
          <w:rFonts w:ascii="Times New Roman" w:hAnsi="Times New Roman"/>
          <w:sz w:val="24"/>
          <w:lang w:val="en-GB"/>
        </w:rPr>
        <w:t>assignment to the shortest hyperpath calculated without consideration of different values of time for different elements of the cost function) are not suitable to describe</w:t>
      </w:r>
      <w:r w:rsidR="001D7274" w:rsidRPr="00800E54">
        <w:rPr>
          <w:rFonts w:ascii="Times New Roman" w:hAnsi="Times New Roman"/>
          <w:sz w:val="24"/>
          <w:lang w:val="en-GB"/>
        </w:rPr>
        <w:t xml:space="preserve"> the</w:t>
      </w:r>
      <w:r w:rsidRPr="00800E54">
        <w:rPr>
          <w:rFonts w:ascii="Times New Roman" w:hAnsi="Times New Roman"/>
          <w:sz w:val="24"/>
          <w:lang w:val="en-GB"/>
        </w:rPr>
        <w:t xml:space="preserve"> actual and stated transit user behavio</w:t>
      </w:r>
      <w:r w:rsidR="007E315D">
        <w:rPr>
          <w:rFonts w:ascii="Times New Roman" w:hAnsi="Times New Roman" w:hint="eastAsia"/>
          <w:sz w:val="24"/>
          <w:lang w:val="en-GB"/>
        </w:rPr>
        <w:t>u</w:t>
      </w:r>
      <w:r w:rsidRPr="00800E54">
        <w:rPr>
          <w:rFonts w:ascii="Times New Roman" w:hAnsi="Times New Roman"/>
          <w:sz w:val="24"/>
          <w:lang w:val="en-GB"/>
        </w:rPr>
        <w:t xml:space="preserve">r. In this paper we aim </w:t>
      </w:r>
      <w:r w:rsidR="007E315D">
        <w:rPr>
          <w:rFonts w:ascii="Times New Roman" w:hAnsi="Times New Roman" w:hint="eastAsia"/>
          <w:sz w:val="24"/>
          <w:lang w:val="en-GB"/>
        </w:rPr>
        <w:t xml:space="preserve">at </w:t>
      </w:r>
      <w:r w:rsidRPr="00800E54">
        <w:rPr>
          <w:rFonts w:ascii="Times New Roman" w:hAnsi="Times New Roman"/>
          <w:sz w:val="24"/>
          <w:lang w:val="en-GB"/>
        </w:rPr>
        <w:t>identifying classes of stated behavio</w:t>
      </w:r>
      <w:r w:rsidR="007E315D">
        <w:rPr>
          <w:rFonts w:ascii="Times New Roman" w:hAnsi="Times New Roman" w:hint="eastAsia"/>
          <w:sz w:val="24"/>
          <w:lang w:val="en-GB"/>
        </w:rPr>
        <w:t>u</w:t>
      </w:r>
      <w:r w:rsidRPr="00800E54">
        <w:rPr>
          <w:rFonts w:ascii="Times New Roman" w:hAnsi="Times New Roman"/>
          <w:sz w:val="24"/>
          <w:lang w:val="en-GB"/>
        </w:rPr>
        <w:t>r (route choice strategies) and to put them in relation with demand classes.</w:t>
      </w:r>
    </w:p>
    <w:p w:rsidR="00724947" w:rsidRPr="00800E54" w:rsidRDefault="00AC7665" w:rsidP="00AC7665">
      <w:pPr>
        <w:widowControl/>
        <w:ind w:firstLineChars="250" w:firstLine="600"/>
        <w:rPr>
          <w:rFonts w:ascii="Times New Roman" w:eastAsia="MS PGothic" w:hAnsi="Times New Roman"/>
          <w:kern w:val="0"/>
          <w:sz w:val="24"/>
          <w:lang w:val="en-GB"/>
        </w:rPr>
      </w:pPr>
      <w:r w:rsidRPr="00800E54">
        <w:rPr>
          <w:rFonts w:ascii="Times New Roman" w:hAnsi="Times New Roman"/>
          <w:sz w:val="24"/>
          <w:lang w:val="en-GB"/>
        </w:rPr>
        <w:t>The analyses carried out so far have put evidence that pre-defined models (such as the logistic ones used in Fonzone et al. (2010) or the nested logit of Kurauchi et al. (2012a)) tend to derive sparse results from our dataset. Hence in this study we have decided to make use of cluster analysis techniques which are able to recogni</w:t>
      </w:r>
      <w:r w:rsidR="007E315D">
        <w:rPr>
          <w:rFonts w:ascii="Times New Roman" w:hAnsi="Times New Roman" w:hint="eastAsia"/>
          <w:sz w:val="24"/>
          <w:lang w:val="en-GB"/>
        </w:rPr>
        <w:t>s</w:t>
      </w:r>
      <w:r w:rsidRPr="00800E54">
        <w:rPr>
          <w:rFonts w:ascii="Times New Roman" w:hAnsi="Times New Roman"/>
          <w:sz w:val="24"/>
          <w:lang w:val="en-GB"/>
        </w:rPr>
        <w:t>e structures in data without previous assumptions</w:t>
      </w:r>
      <w:r w:rsidR="00D7101A" w:rsidRPr="00800E54">
        <w:rPr>
          <w:rFonts w:ascii="Times New Roman" w:hAnsi="Times New Roman"/>
          <w:sz w:val="24"/>
          <w:lang w:val="en-GB"/>
        </w:rPr>
        <w:t xml:space="preserve"> on the shape of the relation between dependent and independent variables</w:t>
      </w:r>
      <w:r w:rsidRPr="00800E54">
        <w:rPr>
          <w:rFonts w:ascii="Times New Roman" w:hAnsi="Times New Roman"/>
          <w:sz w:val="24"/>
          <w:lang w:val="en-GB"/>
        </w:rPr>
        <w:t>.</w:t>
      </w:r>
    </w:p>
    <w:p w:rsidR="00AC7665" w:rsidRPr="00800E54" w:rsidRDefault="00AC7665" w:rsidP="00AC7665">
      <w:pPr>
        <w:tabs>
          <w:tab w:val="left" w:pos="993"/>
        </w:tabs>
        <w:rPr>
          <w:rFonts w:ascii="Times New Roman" w:hAnsi="Times New Roman"/>
          <w:sz w:val="24"/>
          <w:lang w:val="en-GB"/>
        </w:rPr>
      </w:pPr>
    </w:p>
    <w:p w:rsidR="00684648" w:rsidRPr="00800E54" w:rsidRDefault="00684648" w:rsidP="00AC7665">
      <w:pPr>
        <w:tabs>
          <w:tab w:val="left" w:pos="993"/>
        </w:tabs>
        <w:rPr>
          <w:rFonts w:ascii="Times New Roman" w:hAnsi="Times New Roman"/>
          <w:sz w:val="24"/>
          <w:lang w:val="en-GB"/>
        </w:rPr>
      </w:pPr>
    </w:p>
    <w:p w:rsidR="00684648" w:rsidRPr="00800E54" w:rsidRDefault="00684648" w:rsidP="00AC7665">
      <w:pPr>
        <w:tabs>
          <w:tab w:val="left" w:pos="993"/>
        </w:tabs>
        <w:rPr>
          <w:rFonts w:ascii="Times New Roman" w:hAnsi="Times New Roman"/>
          <w:sz w:val="24"/>
          <w:lang w:val="en-GB"/>
        </w:rPr>
      </w:pPr>
    </w:p>
    <w:p w:rsidR="00AC7665" w:rsidRPr="00800E54" w:rsidRDefault="00AC7665" w:rsidP="00AC7665">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 xml:space="preserve">4.1 </w:t>
      </w:r>
      <w:r w:rsidRPr="00800E54">
        <w:rPr>
          <w:rFonts w:ascii="Times New Roman" w:eastAsia="MS PGothic" w:hAnsi="Times New Roman"/>
          <w:b/>
          <w:bCs/>
          <w:kern w:val="0"/>
          <w:sz w:val="24"/>
          <w:lang w:val="en-GB"/>
        </w:rPr>
        <w:t>Methodology</w:t>
      </w:r>
    </w:p>
    <w:p w:rsidR="00AC7665" w:rsidRPr="00800E54" w:rsidRDefault="00AC7665" w:rsidP="00AC7665">
      <w:pPr>
        <w:tabs>
          <w:tab w:val="left" w:pos="993"/>
        </w:tabs>
        <w:rPr>
          <w:rFonts w:ascii="Times New Roman" w:hAnsi="Times New Roman"/>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Clustering is a widely used data mining approach which aims at singling out groups of subjects similar with respect to a given set of features. Used for data reduction (Halkidi, Batistakis and Vazirgiannis, 2001) it helps identifying the limits of the external validity of the results drawn from a non-randomly chosen sample. Moreover it can be useful to identify behavioural patterns in an explorative study.</w:t>
      </w:r>
    </w:p>
    <w:p w:rsidR="00AC7665" w:rsidRPr="00800E54" w:rsidRDefault="00AC7665" w:rsidP="00AC7665">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 xml:space="preserve">We base the analysis of the attitude of transit users towards hyperpath-based route choice on a double clustering. Firstly responses are grouped according to the personal characteristics of respondents and to the characteristics of the reported trips. This allows characterising the segments of demand for public transport trips that our web-based survey was able to capture (the results of this first clustering are referred to as “demand” clusters). A second clustering concerns the answers to 5 questions (Q29, Q31-33) of the stated preference section of the questionnaire (“behaviour” clusters). From this </w:t>
      </w:r>
      <w:r w:rsidR="009012BC" w:rsidRPr="00800E54">
        <w:rPr>
          <w:rFonts w:ascii="Times New Roman" w:eastAsia="MS PGothic" w:hAnsi="Times New Roman"/>
          <w:kern w:val="0"/>
          <w:sz w:val="24"/>
          <w:lang w:val="en-GB"/>
        </w:rPr>
        <w:t xml:space="preserve">we derive a </w:t>
      </w:r>
      <w:r w:rsidRPr="00800E54">
        <w:rPr>
          <w:rFonts w:ascii="Times New Roman" w:eastAsia="MS PGothic" w:hAnsi="Times New Roman"/>
          <w:kern w:val="0"/>
          <w:sz w:val="24"/>
          <w:lang w:val="en-GB"/>
        </w:rPr>
        <w:t xml:space="preserve">clearer understanding </w:t>
      </w:r>
      <w:r w:rsidR="009012BC" w:rsidRPr="00800E54">
        <w:rPr>
          <w:rFonts w:ascii="Times New Roman" w:eastAsia="MS PGothic" w:hAnsi="Times New Roman"/>
          <w:kern w:val="0"/>
          <w:sz w:val="24"/>
          <w:lang w:val="en-GB"/>
        </w:rPr>
        <w:t>to</w:t>
      </w:r>
      <w:r w:rsidRPr="00800E54">
        <w:rPr>
          <w:rFonts w:ascii="Times New Roman" w:eastAsia="MS PGothic" w:hAnsi="Times New Roman"/>
          <w:kern w:val="0"/>
          <w:sz w:val="24"/>
          <w:lang w:val="en-GB"/>
        </w:rPr>
        <w:t xml:space="preserve"> the different approaches to route choice in transit networks. Finally demand and behaviour clusters are compared to check whether different demand segments adopt different decision making processes.</w:t>
      </w:r>
    </w:p>
    <w:p w:rsidR="00AC7665" w:rsidRPr="00800E54" w:rsidRDefault="00AC7665" w:rsidP="00AC7665">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 xml:space="preserve">Since our dataset includes categorical variables, the SPSS </w:t>
      </w:r>
      <w:r w:rsidR="00877931">
        <w:rPr>
          <w:rFonts w:ascii="Times New Roman" w:eastAsia="MS PGothic" w:hAnsi="Times New Roman"/>
          <w:kern w:val="0"/>
          <w:sz w:val="24"/>
          <w:lang w:val="en-GB"/>
        </w:rPr>
        <w:t xml:space="preserve">18 </w:t>
      </w:r>
      <w:r w:rsidRPr="00800E54">
        <w:rPr>
          <w:rFonts w:ascii="Times New Roman" w:eastAsia="MS PGothic" w:hAnsi="Times New Roman"/>
          <w:kern w:val="0"/>
          <w:sz w:val="24"/>
          <w:lang w:val="en-GB"/>
        </w:rPr>
        <w:t xml:space="preserve">TwoStep procedure is used which is generally deemed suitable to deal with non-interval variables. The number of clusters in this procedure is normally decided on the basis of the Bayes Information Criterion or of the Akaike’s Information Criterion. The former tends to underestimate the “correct” number of clusters whereas the latter tends to overestimate it (Mooi and Sarstedt, 2011). The Silhouette coefficient is provided as measure of goodness-of-fit. However, it has to be noted that the cluster model selection based on the information criteria makes use of a heuristic method. Moreover the Silhouette coefficient is a geometrical-based validity measure; </w:t>
      </w:r>
      <w:r w:rsidR="0059027B" w:rsidRPr="00800E54">
        <w:rPr>
          <w:rFonts w:ascii="Times New Roman" w:eastAsia="MS PGothic" w:hAnsi="Times New Roman"/>
          <w:kern w:val="0"/>
          <w:sz w:val="24"/>
          <w:lang w:val="en-GB"/>
        </w:rPr>
        <w:t>this type</w:t>
      </w:r>
      <w:r w:rsidRPr="00800E54">
        <w:rPr>
          <w:rFonts w:ascii="Times New Roman" w:eastAsia="MS PGothic" w:hAnsi="Times New Roman"/>
          <w:kern w:val="0"/>
          <w:sz w:val="24"/>
          <w:lang w:val="en-GB"/>
        </w:rPr>
        <w:t xml:space="preserve"> of indicators provide useful information only if specific assumptions as to the shape of clusters hold. To overcome these problems, an approach can be taken to cluster validation based on the stability of solution. Kuncheva and Vetrov (2006) provide a clear discussion of the issue, BelMufti, Bertrand and ElMoubarki (2005) can be consulted for references to seminal works. We select the optimal model taking into account both the default SPSS measures and a stability analysis. Details on model selection are given in the Appendix.</w:t>
      </w:r>
    </w:p>
    <w:p w:rsidR="00AC7665" w:rsidRPr="00800E54" w:rsidRDefault="00AC7665" w:rsidP="00724947">
      <w:pPr>
        <w:widowControl/>
        <w:rPr>
          <w:rFonts w:ascii="Times New Roman" w:eastAsia="MS PGothic" w:hAnsi="Times New Roman"/>
          <w:kern w:val="0"/>
          <w:sz w:val="24"/>
          <w:lang w:val="en-GB"/>
        </w:rPr>
      </w:pPr>
    </w:p>
    <w:p w:rsidR="00AC7665" w:rsidRPr="00800E54" w:rsidRDefault="00AC7665" w:rsidP="00AC7665">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 xml:space="preserve">4.2 </w:t>
      </w:r>
      <w:r w:rsidRPr="00800E54">
        <w:rPr>
          <w:rFonts w:ascii="Times New Roman" w:eastAsia="MS PGothic" w:hAnsi="Times New Roman"/>
          <w:b/>
          <w:bCs/>
          <w:kern w:val="0"/>
          <w:sz w:val="24"/>
          <w:lang w:val="en-GB"/>
        </w:rPr>
        <w:t>Demand Clusters</w:t>
      </w:r>
    </w:p>
    <w:p w:rsidR="00AC7665" w:rsidRPr="00800E54" w:rsidRDefault="00AC7665" w:rsidP="00AC7665">
      <w:pPr>
        <w:tabs>
          <w:tab w:val="left" w:pos="993"/>
        </w:tabs>
        <w:rPr>
          <w:rFonts w:ascii="Times New Roman" w:hAnsi="Times New Roman"/>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The demand clustering is based on 431 valid respondents who answer</w:t>
      </w:r>
      <w:r w:rsidR="001438CF" w:rsidRPr="00800E54">
        <w:rPr>
          <w:rFonts w:ascii="Times New Roman" w:eastAsia="MS PGothic" w:hAnsi="Times New Roman"/>
          <w:kern w:val="0"/>
          <w:sz w:val="24"/>
          <w:lang w:val="en-GB"/>
        </w:rPr>
        <w:t>ed</w:t>
      </w:r>
      <w:r w:rsidRPr="00800E54">
        <w:rPr>
          <w:rFonts w:ascii="Times New Roman" w:eastAsia="MS PGothic" w:hAnsi="Times New Roman"/>
          <w:kern w:val="0"/>
          <w:sz w:val="24"/>
          <w:lang w:val="en-GB"/>
        </w:rPr>
        <w:t xml:space="preserve"> the 14 variables reported in Table 4. The correlation between variables has been checked using Pearson’s coefficient for pairs of interval variables and Spearman’s Rho for other combinations. The highest value, 0.641 (p&lt;0.01), unsurprisingly</w:t>
      </w:r>
      <w:r w:rsidR="00287199" w:rsidRPr="00800E54">
        <w:rPr>
          <w:rFonts w:ascii="Times New Roman" w:eastAsia="MS PGothic" w:hAnsi="Times New Roman"/>
          <w:kern w:val="0"/>
          <w:sz w:val="24"/>
          <w:lang w:val="en-GB"/>
        </w:rPr>
        <w:t>,</w:t>
      </w:r>
      <w:r w:rsidRPr="00800E54">
        <w:rPr>
          <w:rFonts w:ascii="Times New Roman" w:eastAsia="MS PGothic" w:hAnsi="Times New Roman"/>
          <w:kern w:val="0"/>
          <w:sz w:val="24"/>
          <w:lang w:val="en-GB"/>
        </w:rPr>
        <w:t xml:space="preserve"> concerns the pair </w:t>
      </w:r>
      <w:r w:rsidR="001438CF" w:rsidRPr="00800E54">
        <w:rPr>
          <w:rFonts w:ascii="Times New Roman" w:eastAsia="MS PGothic" w:hAnsi="Times New Roman"/>
          <w:kern w:val="0"/>
          <w:sz w:val="24"/>
          <w:lang w:val="en-GB"/>
        </w:rPr>
        <w:t>“</w:t>
      </w:r>
      <w:r w:rsidRPr="00800E54">
        <w:rPr>
          <w:rFonts w:ascii="Times New Roman" w:eastAsia="MS PGothic" w:hAnsi="Times New Roman"/>
          <w:kern w:val="0"/>
          <w:sz w:val="24"/>
          <w:lang w:val="en-GB"/>
        </w:rPr>
        <w:t>Trip week day – Trip purpose”.</w:t>
      </w:r>
    </w:p>
    <w:p w:rsidR="00AC7665" w:rsidRPr="00800E54" w:rsidRDefault="00AC7665" w:rsidP="00724947">
      <w:pPr>
        <w:widowControl/>
        <w:rPr>
          <w:rFonts w:ascii="Times New Roman" w:eastAsia="MS PGothic" w:hAnsi="Times New Roman"/>
          <w:kern w:val="0"/>
          <w:sz w:val="24"/>
          <w:lang w:val="en-GB"/>
        </w:rPr>
      </w:pPr>
    </w:p>
    <w:p w:rsidR="002B4B8E" w:rsidRPr="00800E54" w:rsidRDefault="002B4B8E">
      <w:pPr>
        <w:widowControl/>
        <w:jc w:val="left"/>
        <w:rPr>
          <w:rFonts w:ascii="Times New Roman" w:hAnsi="Times New Roman"/>
          <w:sz w:val="24"/>
          <w:lang w:val="en-GB"/>
        </w:rPr>
      </w:pPr>
      <w:r w:rsidRPr="00800E54">
        <w:rPr>
          <w:rFonts w:ascii="Times New Roman" w:hAnsi="Times New Roman"/>
          <w:sz w:val="24"/>
          <w:lang w:val="en-GB"/>
        </w:rPr>
        <w:br w:type="page"/>
      </w:r>
    </w:p>
    <w:p w:rsidR="00AC7665" w:rsidRPr="00800E54" w:rsidRDefault="00AC7665" w:rsidP="00AC7665">
      <w:pPr>
        <w:tabs>
          <w:tab w:val="left" w:pos="993"/>
        </w:tabs>
        <w:jc w:val="center"/>
        <w:rPr>
          <w:rFonts w:ascii="Times New Roman" w:hAnsi="Times New Roman"/>
          <w:sz w:val="24"/>
          <w:lang w:val="en-GB"/>
        </w:rPr>
      </w:pPr>
      <w:r w:rsidRPr="00800E54">
        <w:rPr>
          <w:rFonts w:ascii="Times New Roman" w:hAnsi="Times New Roman"/>
          <w:sz w:val="24"/>
          <w:lang w:val="en-GB"/>
        </w:rPr>
        <w:lastRenderedPageBreak/>
        <w:t>Table 4. Variables of personal and trip characteristics used for demand clusters</w:t>
      </w:r>
    </w:p>
    <w:tbl>
      <w:tblPr>
        <w:tblStyle w:val="TableGrid"/>
        <w:tblW w:w="0" w:type="auto"/>
        <w:tblLook w:val="04A0" w:firstRow="1" w:lastRow="0" w:firstColumn="1" w:lastColumn="0" w:noHBand="0" w:noVBand="1"/>
      </w:tblPr>
      <w:tblGrid>
        <w:gridCol w:w="1426"/>
        <w:gridCol w:w="2329"/>
        <w:gridCol w:w="1339"/>
        <w:gridCol w:w="846"/>
        <w:gridCol w:w="3346"/>
      </w:tblGrid>
      <w:tr w:rsidR="00AC7665" w:rsidRPr="00800E54" w:rsidTr="00A51AEF">
        <w:tc>
          <w:tcPr>
            <w:tcW w:w="0" w:type="auto"/>
            <w:tcBorders>
              <w:left w:val="nil"/>
            </w:tcBorders>
            <w:vAlign w:val="center"/>
          </w:tcPr>
          <w:p w:rsidR="00AC7665" w:rsidRPr="00800E54" w:rsidRDefault="00AC7665" w:rsidP="00A51AEF">
            <w:pPr>
              <w:pStyle w:val="Tabletext"/>
              <w:rPr>
                <w:b/>
              </w:rPr>
            </w:pPr>
            <w:r w:rsidRPr="00800E54">
              <w:rPr>
                <w:b/>
              </w:rPr>
              <w:t>Section</w:t>
            </w:r>
          </w:p>
        </w:tc>
        <w:tc>
          <w:tcPr>
            <w:tcW w:w="0" w:type="auto"/>
            <w:vAlign w:val="center"/>
          </w:tcPr>
          <w:p w:rsidR="00AC7665" w:rsidRPr="00800E54" w:rsidRDefault="00AC7665" w:rsidP="00A51AEF">
            <w:pPr>
              <w:pStyle w:val="Tabletext"/>
              <w:rPr>
                <w:b/>
              </w:rPr>
            </w:pPr>
            <w:r w:rsidRPr="00800E54">
              <w:rPr>
                <w:b/>
              </w:rPr>
              <w:t>Question</w:t>
            </w:r>
          </w:p>
        </w:tc>
        <w:tc>
          <w:tcPr>
            <w:tcW w:w="0" w:type="auto"/>
            <w:vAlign w:val="center"/>
          </w:tcPr>
          <w:p w:rsidR="00AC7665" w:rsidRPr="00800E54" w:rsidRDefault="00AC7665" w:rsidP="00A51AEF">
            <w:pPr>
              <w:pStyle w:val="Tabletext"/>
              <w:rPr>
                <w:b/>
              </w:rPr>
            </w:pPr>
            <w:r w:rsidRPr="00800E54">
              <w:rPr>
                <w:b/>
              </w:rPr>
              <w:t>Variable</w:t>
            </w:r>
          </w:p>
        </w:tc>
        <w:tc>
          <w:tcPr>
            <w:tcW w:w="0" w:type="auto"/>
            <w:vAlign w:val="center"/>
          </w:tcPr>
          <w:p w:rsidR="00AC7665" w:rsidRPr="00800E54" w:rsidRDefault="00AC7665" w:rsidP="00A51AEF">
            <w:pPr>
              <w:pStyle w:val="Tabletext"/>
              <w:rPr>
                <w:b/>
              </w:rPr>
            </w:pPr>
            <w:r w:rsidRPr="00800E54">
              <w:rPr>
                <w:b/>
              </w:rPr>
              <w:t>Type</w:t>
            </w:r>
          </w:p>
        </w:tc>
        <w:tc>
          <w:tcPr>
            <w:tcW w:w="0" w:type="auto"/>
            <w:tcBorders>
              <w:right w:val="nil"/>
            </w:tcBorders>
            <w:vAlign w:val="center"/>
          </w:tcPr>
          <w:p w:rsidR="00AC7665" w:rsidRPr="00800E54" w:rsidRDefault="00AC7665" w:rsidP="00A51AEF">
            <w:pPr>
              <w:pStyle w:val="Tabletext"/>
              <w:rPr>
                <w:b/>
              </w:rPr>
            </w:pPr>
            <w:r w:rsidRPr="00800E54">
              <w:rPr>
                <w:b/>
              </w:rPr>
              <w:t>Range or categories</w:t>
            </w:r>
          </w:p>
        </w:tc>
      </w:tr>
      <w:tr w:rsidR="00AC7665" w:rsidRPr="00800E54" w:rsidTr="00A51AEF">
        <w:tc>
          <w:tcPr>
            <w:tcW w:w="0" w:type="auto"/>
            <w:vMerge w:val="restart"/>
            <w:tcBorders>
              <w:left w:val="nil"/>
            </w:tcBorders>
            <w:vAlign w:val="center"/>
          </w:tcPr>
          <w:p w:rsidR="00AC7665" w:rsidRPr="00800E54" w:rsidRDefault="00AC7665" w:rsidP="00A51AEF">
            <w:pPr>
              <w:pStyle w:val="Tabletext"/>
              <w:rPr>
                <w:b/>
              </w:rPr>
            </w:pPr>
            <w:r w:rsidRPr="00800E54">
              <w:rPr>
                <w:b/>
              </w:rPr>
              <w:t>Personal information</w:t>
            </w:r>
          </w:p>
        </w:tc>
        <w:tc>
          <w:tcPr>
            <w:tcW w:w="0" w:type="auto"/>
            <w:vAlign w:val="center"/>
          </w:tcPr>
          <w:p w:rsidR="00AC7665" w:rsidRPr="00800E54" w:rsidRDefault="00AC7665" w:rsidP="00A51AEF">
            <w:pPr>
              <w:pStyle w:val="Tabletext"/>
            </w:pPr>
            <w:r w:rsidRPr="00800E54">
              <w:t>Q1</w:t>
            </w:r>
          </w:p>
        </w:tc>
        <w:tc>
          <w:tcPr>
            <w:tcW w:w="0" w:type="auto"/>
            <w:vAlign w:val="center"/>
          </w:tcPr>
          <w:p w:rsidR="00AC7665" w:rsidRPr="00800E54" w:rsidRDefault="00AC7665" w:rsidP="00A51AEF">
            <w:pPr>
              <w:pStyle w:val="Tabletext"/>
            </w:pPr>
            <w:r w:rsidRPr="00800E54">
              <w:t>Gender</w:t>
            </w:r>
          </w:p>
        </w:tc>
        <w:tc>
          <w:tcPr>
            <w:tcW w:w="0" w:type="auto"/>
            <w:vAlign w:val="center"/>
          </w:tcPr>
          <w:p w:rsidR="00AC7665" w:rsidRPr="00800E54" w:rsidRDefault="00AC7665" w:rsidP="00A51AEF">
            <w:pPr>
              <w:pStyle w:val="Tabletext"/>
            </w:pPr>
            <w:r w:rsidRPr="00800E54">
              <w:t>Nominal</w:t>
            </w:r>
          </w:p>
        </w:tc>
        <w:tc>
          <w:tcPr>
            <w:tcW w:w="0" w:type="auto"/>
            <w:tcBorders>
              <w:right w:val="nil"/>
            </w:tcBorders>
            <w:vAlign w:val="center"/>
          </w:tcPr>
          <w:p w:rsidR="00AC7665" w:rsidRPr="00800E54" w:rsidRDefault="00AC7665" w:rsidP="00A51AEF">
            <w:pPr>
              <w:pStyle w:val="Tabletext"/>
            </w:pPr>
            <w:r w:rsidRPr="00800E54">
              <w:t>Female (41.8%), Male (58.2%)</w:t>
            </w:r>
          </w:p>
        </w:tc>
      </w:tr>
      <w:tr w:rsidR="00AC7665" w:rsidRPr="00800E54" w:rsidTr="00A51AEF">
        <w:tc>
          <w:tcPr>
            <w:tcW w:w="0" w:type="auto"/>
            <w:vMerge/>
            <w:tcBorders>
              <w:left w:val="nil"/>
            </w:tcBorders>
            <w:vAlign w:val="center"/>
          </w:tcPr>
          <w:p w:rsidR="00AC7665" w:rsidRPr="00800E54" w:rsidRDefault="00AC7665" w:rsidP="00A51AEF">
            <w:pPr>
              <w:pStyle w:val="Tabletext"/>
              <w:rPr>
                <w:b/>
              </w:rPr>
            </w:pPr>
          </w:p>
        </w:tc>
        <w:tc>
          <w:tcPr>
            <w:tcW w:w="0" w:type="auto"/>
            <w:vAlign w:val="center"/>
          </w:tcPr>
          <w:p w:rsidR="00AC7665" w:rsidRPr="00800E54" w:rsidRDefault="00AC7665" w:rsidP="00A51AEF">
            <w:pPr>
              <w:pStyle w:val="Tabletext"/>
            </w:pPr>
            <w:r w:rsidRPr="00800E54">
              <w:t>Q2</w:t>
            </w:r>
          </w:p>
        </w:tc>
        <w:tc>
          <w:tcPr>
            <w:tcW w:w="0" w:type="auto"/>
            <w:vAlign w:val="center"/>
          </w:tcPr>
          <w:p w:rsidR="00AC7665" w:rsidRPr="00800E54" w:rsidRDefault="00AC7665" w:rsidP="00A51AEF">
            <w:pPr>
              <w:pStyle w:val="Tabletext"/>
              <w:rPr>
                <w:i/>
              </w:rPr>
            </w:pPr>
            <w:r w:rsidRPr="00800E54">
              <w:rPr>
                <w:i/>
              </w:rPr>
              <w:t xml:space="preserve">Age </w:t>
            </w:r>
            <w:r w:rsidRPr="00800E54">
              <w:t>(years)</w:t>
            </w:r>
          </w:p>
        </w:tc>
        <w:tc>
          <w:tcPr>
            <w:tcW w:w="0" w:type="auto"/>
            <w:vAlign w:val="center"/>
          </w:tcPr>
          <w:p w:rsidR="00AC7665" w:rsidRPr="00800E54" w:rsidRDefault="00AC7665" w:rsidP="00A51AEF">
            <w:pPr>
              <w:pStyle w:val="Tabletext"/>
            </w:pPr>
            <w:r w:rsidRPr="00800E54">
              <w:t>Scale</w:t>
            </w:r>
          </w:p>
        </w:tc>
        <w:tc>
          <w:tcPr>
            <w:tcW w:w="0" w:type="auto"/>
            <w:tcBorders>
              <w:right w:val="nil"/>
            </w:tcBorders>
            <w:vAlign w:val="center"/>
          </w:tcPr>
          <w:p w:rsidR="00AC7665" w:rsidRPr="00800E54" w:rsidRDefault="00AC7665" w:rsidP="00A51AEF">
            <w:pPr>
              <w:pStyle w:val="Tabletext"/>
            </w:pPr>
            <w:r w:rsidRPr="00800E54">
              <w:t>Min 15, Max 66, Mean 31.28, Std. Dev. 10.24</w:t>
            </w:r>
          </w:p>
        </w:tc>
      </w:tr>
      <w:tr w:rsidR="00AC7665" w:rsidRPr="00800E54" w:rsidTr="00A51AEF">
        <w:tc>
          <w:tcPr>
            <w:tcW w:w="0" w:type="auto"/>
            <w:vMerge/>
            <w:tcBorders>
              <w:left w:val="nil"/>
            </w:tcBorders>
            <w:vAlign w:val="center"/>
          </w:tcPr>
          <w:p w:rsidR="00AC7665" w:rsidRPr="00800E54" w:rsidRDefault="00AC7665" w:rsidP="00A51AEF">
            <w:pPr>
              <w:pStyle w:val="Tabletext"/>
              <w:rPr>
                <w:b/>
              </w:rPr>
            </w:pPr>
          </w:p>
        </w:tc>
        <w:tc>
          <w:tcPr>
            <w:tcW w:w="0" w:type="auto"/>
            <w:vAlign w:val="center"/>
          </w:tcPr>
          <w:p w:rsidR="00AC7665" w:rsidRPr="00800E54" w:rsidRDefault="00AC7665" w:rsidP="00A51AEF">
            <w:pPr>
              <w:pStyle w:val="Tabletext"/>
            </w:pPr>
            <w:r w:rsidRPr="00800E54">
              <w:t>Q3</w:t>
            </w:r>
          </w:p>
        </w:tc>
        <w:tc>
          <w:tcPr>
            <w:tcW w:w="0" w:type="auto"/>
            <w:vAlign w:val="center"/>
          </w:tcPr>
          <w:p w:rsidR="00AC7665" w:rsidRPr="00800E54" w:rsidRDefault="00AC7665" w:rsidP="00A51AEF">
            <w:pPr>
              <w:pStyle w:val="Tabletext"/>
            </w:pPr>
            <w:r w:rsidRPr="00800E54">
              <w:t>Occupation</w:t>
            </w:r>
          </w:p>
        </w:tc>
        <w:tc>
          <w:tcPr>
            <w:tcW w:w="0" w:type="auto"/>
            <w:vAlign w:val="center"/>
          </w:tcPr>
          <w:p w:rsidR="00AC7665" w:rsidRPr="00800E54" w:rsidRDefault="00AC7665" w:rsidP="00A51AEF">
            <w:pPr>
              <w:pStyle w:val="Tabletext"/>
            </w:pPr>
            <w:r w:rsidRPr="00800E54">
              <w:t>Nominal</w:t>
            </w:r>
          </w:p>
        </w:tc>
        <w:tc>
          <w:tcPr>
            <w:tcW w:w="0" w:type="auto"/>
            <w:tcBorders>
              <w:right w:val="nil"/>
            </w:tcBorders>
            <w:vAlign w:val="center"/>
          </w:tcPr>
          <w:p w:rsidR="00AC7665" w:rsidRPr="00800E54" w:rsidRDefault="00AC7665" w:rsidP="00A51AEF">
            <w:pPr>
              <w:pStyle w:val="Tabletext"/>
            </w:pPr>
            <w:r w:rsidRPr="00800E54">
              <w:t>Not employed (1.6%), Student (44.8%), Employee (49.9%), Self-employed (3.0%), Retired (0.7%)</w:t>
            </w:r>
          </w:p>
        </w:tc>
      </w:tr>
      <w:tr w:rsidR="00AC7665" w:rsidRPr="00BA729F" w:rsidTr="00A51AEF">
        <w:tc>
          <w:tcPr>
            <w:tcW w:w="0" w:type="auto"/>
            <w:vMerge/>
            <w:tcBorders>
              <w:left w:val="nil"/>
            </w:tcBorders>
            <w:vAlign w:val="center"/>
          </w:tcPr>
          <w:p w:rsidR="00AC7665" w:rsidRPr="00800E54" w:rsidRDefault="00AC7665" w:rsidP="00A51AEF">
            <w:pPr>
              <w:pStyle w:val="Tabletext"/>
              <w:rPr>
                <w:b/>
              </w:rPr>
            </w:pPr>
          </w:p>
        </w:tc>
        <w:tc>
          <w:tcPr>
            <w:tcW w:w="0" w:type="auto"/>
            <w:vAlign w:val="center"/>
          </w:tcPr>
          <w:p w:rsidR="00AC7665" w:rsidRPr="00800E54" w:rsidRDefault="00AC7665" w:rsidP="00A51AEF">
            <w:pPr>
              <w:pStyle w:val="Tabletext"/>
            </w:pPr>
            <w:r w:rsidRPr="00800E54">
              <w:t>From Q4 and Q5: population of the largest between living and working/studying city</w:t>
            </w:r>
          </w:p>
        </w:tc>
        <w:tc>
          <w:tcPr>
            <w:tcW w:w="0" w:type="auto"/>
            <w:vAlign w:val="center"/>
          </w:tcPr>
          <w:p w:rsidR="00AC7665" w:rsidRPr="00800E54" w:rsidRDefault="00AC7665" w:rsidP="00A51AEF">
            <w:pPr>
              <w:pStyle w:val="Tabletext"/>
            </w:pPr>
            <w:r w:rsidRPr="00800E54">
              <w:t>Population</w:t>
            </w:r>
          </w:p>
        </w:tc>
        <w:tc>
          <w:tcPr>
            <w:tcW w:w="0" w:type="auto"/>
            <w:vAlign w:val="center"/>
          </w:tcPr>
          <w:p w:rsidR="00AC7665" w:rsidRPr="00800E54" w:rsidRDefault="00AC7665" w:rsidP="00A51AEF">
            <w:pPr>
              <w:pStyle w:val="Tabletext"/>
            </w:pPr>
            <w:r w:rsidRPr="00800E54">
              <w:t>Scale</w:t>
            </w:r>
          </w:p>
        </w:tc>
        <w:tc>
          <w:tcPr>
            <w:tcW w:w="0" w:type="auto"/>
            <w:tcBorders>
              <w:right w:val="nil"/>
            </w:tcBorders>
            <w:vAlign w:val="center"/>
          </w:tcPr>
          <w:p w:rsidR="00AC7665" w:rsidRPr="006F2E74" w:rsidRDefault="00AC7665" w:rsidP="00A51AEF">
            <w:pPr>
              <w:pStyle w:val="Tabletext"/>
              <w:rPr>
                <w:lang w:val="it-IT"/>
              </w:rPr>
            </w:pPr>
            <w:r w:rsidRPr="006F2E74">
              <w:rPr>
                <w:rFonts w:eastAsiaTheme="minorEastAsia"/>
                <w:lang w:val="it-IT" w:eastAsia="ja-JP"/>
              </w:rPr>
              <w:t>Min 27,065, Max 19,61</w:t>
            </w:r>
            <w:r w:rsidR="001438CF" w:rsidRPr="006F2E74">
              <w:rPr>
                <w:rFonts w:eastAsiaTheme="minorEastAsia"/>
                <w:lang w:val="it-IT" w:eastAsia="ja-JP"/>
              </w:rPr>
              <w:t>E6</w:t>
            </w:r>
            <w:r w:rsidRPr="006F2E74">
              <w:rPr>
                <w:rFonts w:eastAsiaTheme="minorEastAsia"/>
                <w:lang w:val="it-IT" w:eastAsia="ja-JP"/>
              </w:rPr>
              <w:t>, Mean 6.60E6, Std. Dev. 6.16E6</w:t>
            </w:r>
          </w:p>
        </w:tc>
      </w:tr>
      <w:tr w:rsidR="00AC7665" w:rsidRPr="00800E54" w:rsidTr="00A51AEF">
        <w:tc>
          <w:tcPr>
            <w:tcW w:w="0" w:type="auto"/>
            <w:vMerge/>
            <w:tcBorders>
              <w:left w:val="nil"/>
            </w:tcBorders>
            <w:vAlign w:val="center"/>
          </w:tcPr>
          <w:p w:rsidR="00AC7665" w:rsidRPr="006F2E74" w:rsidRDefault="00AC7665" w:rsidP="00A51AEF">
            <w:pPr>
              <w:pStyle w:val="Tabletext"/>
              <w:rPr>
                <w:b/>
                <w:lang w:val="it-IT"/>
              </w:rPr>
            </w:pPr>
          </w:p>
        </w:tc>
        <w:tc>
          <w:tcPr>
            <w:tcW w:w="0" w:type="auto"/>
            <w:vAlign w:val="center"/>
          </w:tcPr>
          <w:p w:rsidR="00AC7665" w:rsidRPr="00800E54" w:rsidRDefault="00AC7665" w:rsidP="00A51AEF">
            <w:pPr>
              <w:pStyle w:val="Tabletext"/>
            </w:pPr>
            <w:r w:rsidRPr="00800E54">
              <w:t>From Q6: the highest frequency in the 4 types of trips</w:t>
            </w:r>
          </w:p>
        </w:tc>
        <w:tc>
          <w:tcPr>
            <w:tcW w:w="0" w:type="auto"/>
            <w:vAlign w:val="center"/>
          </w:tcPr>
          <w:p w:rsidR="00AC7665" w:rsidRPr="00800E54" w:rsidRDefault="00AC7665" w:rsidP="00A51AEF">
            <w:pPr>
              <w:pStyle w:val="Tabletext"/>
            </w:pPr>
            <w:r w:rsidRPr="00800E54">
              <w:t>Familiarity with PT</w:t>
            </w:r>
          </w:p>
        </w:tc>
        <w:tc>
          <w:tcPr>
            <w:tcW w:w="0" w:type="auto"/>
            <w:vAlign w:val="center"/>
          </w:tcPr>
          <w:p w:rsidR="00AC7665" w:rsidRPr="00800E54" w:rsidRDefault="00AC7665" w:rsidP="00A51AEF">
            <w:pPr>
              <w:pStyle w:val="Tabletext"/>
            </w:pPr>
            <w:r w:rsidRPr="00800E54">
              <w:t>Ordinal</w:t>
            </w:r>
          </w:p>
        </w:tc>
        <w:tc>
          <w:tcPr>
            <w:tcW w:w="0" w:type="auto"/>
            <w:tcBorders>
              <w:right w:val="nil"/>
            </w:tcBorders>
            <w:vAlign w:val="center"/>
          </w:tcPr>
          <w:p w:rsidR="00AC7665" w:rsidRPr="00800E54" w:rsidRDefault="00AC7665" w:rsidP="00A51AEF">
            <w:pPr>
              <w:pStyle w:val="Tabletext"/>
            </w:pPr>
            <w:r w:rsidRPr="00800E54">
              <w:t>Once a month or less (7.2%), 2-3 times a month (9.0%), Once a week (8.8%), 2-3 times a week (13.7%), More than 2-3 times a week (61.3%)</w:t>
            </w:r>
          </w:p>
        </w:tc>
      </w:tr>
      <w:tr w:rsidR="00AC7665" w:rsidRPr="00800E54" w:rsidTr="00A51AEF">
        <w:tc>
          <w:tcPr>
            <w:tcW w:w="0" w:type="auto"/>
            <w:vMerge w:val="restart"/>
            <w:tcBorders>
              <w:left w:val="nil"/>
            </w:tcBorders>
            <w:vAlign w:val="center"/>
          </w:tcPr>
          <w:p w:rsidR="00AC7665" w:rsidRPr="00800E54" w:rsidRDefault="00AC7665" w:rsidP="00A51AEF">
            <w:pPr>
              <w:pStyle w:val="Tabletext"/>
              <w:rPr>
                <w:b/>
              </w:rPr>
            </w:pPr>
            <w:r w:rsidRPr="00800E54">
              <w:rPr>
                <w:b/>
              </w:rPr>
              <w:t>Trip characteristics</w:t>
            </w:r>
          </w:p>
        </w:tc>
        <w:tc>
          <w:tcPr>
            <w:tcW w:w="0" w:type="auto"/>
            <w:vAlign w:val="center"/>
          </w:tcPr>
          <w:p w:rsidR="00AC7665" w:rsidRPr="00800E54" w:rsidRDefault="00AC7665" w:rsidP="00A51AEF">
            <w:pPr>
              <w:pStyle w:val="Tabletext"/>
            </w:pPr>
            <w:r w:rsidRPr="00800E54">
              <w:t>Q7</w:t>
            </w:r>
          </w:p>
        </w:tc>
        <w:tc>
          <w:tcPr>
            <w:tcW w:w="0" w:type="auto"/>
            <w:vAlign w:val="center"/>
          </w:tcPr>
          <w:p w:rsidR="00AC7665" w:rsidRPr="00800E54" w:rsidRDefault="00AC7665" w:rsidP="00A51AEF">
            <w:pPr>
              <w:pStyle w:val="Tabletext"/>
            </w:pPr>
            <w:r w:rsidRPr="00800E54">
              <w:t>Trip purpose</w:t>
            </w:r>
          </w:p>
        </w:tc>
        <w:tc>
          <w:tcPr>
            <w:tcW w:w="0" w:type="auto"/>
            <w:vAlign w:val="center"/>
          </w:tcPr>
          <w:p w:rsidR="00AC7665" w:rsidRPr="00800E54" w:rsidRDefault="00AC7665" w:rsidP="00A51AEF">
            <w:pPr>
              <w:pStyle w:val="Tabletext"/>
            </w:pPr>
            <w:r w:rsidRPr="00800E54">
              <w:t>Nominal</w:t>
            </w:r>
          </w:p>
        </w:tc>
        <w:tc>
          <w:tcPr>
            <w:tcW w:w="0" w:type="auto"/>
            <w:tcBorders>
              <w:right w:val="nil"/>
            </w:tcBorders>
            <w:vAlign w:val="center"/>
          </w:tcPr>
          <w:p w:rsidR="00AC7665" w:rsidRPr="00800E54" w:rsidRDefault="00AC7665" w:rsidP="00A51AEF">
            <w:pPr>
              <w:pStyle w:val="Tabletext"/>
            </w:pPr>
            <w:r w:rsidRPr="00800E54">
              <w:t>Commuting (75.6%), Work-related businesses (4.2%), Personal/family businesses (5.6%), Other activities (14.6%)</w:t>
            </w:r>
          </w:p>
        </w:tc>
      </w:tr>
      <w:tr w:rsidR="00AC7665" w:rsidRPr="00800E54" w:rsidTr="00A51AEF">
        <w:tc>
          <w:tcPr>
            <w:tcW w:w="0" w:type="auto"/>
            <w:vMerge/>
            <w:tcBorders>
              <w:left w:val="nil"/>
            </w:tcBorders>
            <w:vAlign w:val="center"/>
          </w:tcPr>
          <w:p w:rsidR="00AC7665" w:rsidRPr="00800E54" w:rsidRDefault="00AC7665" w:rsidP="00A51AEF">
            <w:pPr>
              <w:pStyle w:val="Tabletext"/>
            </w:pPr>
          </w:p>
        </w:tc>
        <w:tc>
          <w:tcPr>
            <w:tcW w:w="0" w:type="auto"/>
            <w:vAlign w:val="center"/>
          </w:tcPr>
          <w:p w:rsidR="00AC7665" w:rsidRPr="00800E54" w:rsidRDefault="00AC7665" w:rsidP="00A51AEF">
            <w:pPr>
              <w:pStyle w:val="Tabletext"/>
            </w:pPr>
            <w:r w:rsidRPr="00800E54">
              <w:t>Q8</w:t>
            </w:r>
          </w:p>
        </w:tc>
        <w:tc>
          <w:tcPr>
            <w:tcW w:w="0" w:type="auto"/>
            <w:vAlign w:val="center"/>
          </w:tcPr>
          <w:p w:rsidR="00AC7665" w:rsidRPr="00800E54" w:rsidRDefault="00AC7665" w:rsidP="00A51AEF">
            <w:pPr>
              <w:pStyle w:val="Tabletext"/>
            </w:pPr>
            <w:r w:rsidRPr="00800E54">
              <w:t>Importance of punctuality</w:t>
            </w:r>
          </w:p>
        </w:tc>
        <w:tc>
          <w:tcPr>
            <w:tcW w:w="0" w:type="auto"/>
            <w:vAlign w:val="center"/>
          </w:tcPr>
          <w:p w:rsidR="00AC7665" w:rsidRPr="00800E54" w:rsidRDefault="00AC7665" w:rsidP="00A51AEF">
            <w:pPr>
              <w:pStyle w:val="Tabletext"/>
            </w:pPr>
            <w:r w:rsidRPr="00800E54">
              <w:t>Ordinal</w:t>
            </w:r>
          </w:p>
        </w:tc>
        <w:tc>
          <w:tcPr>
            <w:tcW w:w="0" w:type="auto"/>
            <w:tcBorders>
              <w:right w:val="nil"/>
            </w:tcBorders>
            <w:vAlign w:val="center"/>
          </w:tcPr>
          <w:p w:rsidR="00AC7665" w:rsidRPr="00800E54" w:rsidRDefault="00AC7665" w:rsidP="00A51AEF">
            <w:pPr>
              <w:pStyle w:val="Tabletext"/>
            </w:pPr>
            <w:r w:rsidRPr="00800E54">
              <w:t>1 – Not important (4.4%), 2 (7.7%), 3 (11.6%), 4 (30.6%), 5 (45.7%)</w:t>
            </w:r>
          </w:p>
        </w:tc>
      </w:tr>
      <w:tr w:rsidR="00AC7665" w:rsidRPr="00800E54" w:rsidTr="00A51AEF">
        <w:tc>
          <w:tcPr>
            <w:tcW w:w="0" w:type="auto"/>
            <w:vMerge/>
            <w:tcBorders>
              <w:left w:val="nil"/>
            </w:tcBorders>
            <w:vAlign w:val="center"/>
          </w:tcPr>
          <w:p w:rsidR="00AC7665" w:rsidRPr="00800E54" w:rsidRDefault="00AC7665" w:rsidP="00A51AEF">
            <w:pPr>
              <w:pStyle w:val="Tabletext"/>
            </w:pPr>
          </w:p>
        </w:tc>
        <w:tc>
          <w:tcPr>
            <w:tcW w:w="0" w:type="auto"/>
            <w:vAlign w:val="center"/>
          </w:tcPr>
          <w:p w:rsidR="00AC7665" w:rsidRPr="00800E54" w:rsidRDefault="00AC7665" w:rsidP="00A51AEF">
            <w:pPr>
              <w:pStyle w:val="Tabletext"/>
            </w:pPr>
            <w:r w:rsidRPr="00800E54">
              <w:t>Q9</w:t>
            </w:r>
          </w:p>
        </w:tc>
        <w:tc>
          <w:tcPr>
            <w:tcW w:w="0" w:type="auto"/>
            <w:vAlign w:val="center"/>
          </w:tcPr>
          <w:p w:rsidR="00AC7665" w:rsidRPr="00800E54" w:rsidRDefault="00AC7665" w:rsidP="00A51AEF">
            <w:pPr>
              <w:pStyle w:val="Tabletext"/>
            </w:pPr>
            <w:r w:rsidRPr="00800E54">
              <w:t>Trip week day</w:t>
            </w:r>
          </w:p>
        </w:tc>
        <w:tc>
          <w:tcPr>
            <w:tcW w:w="0" w:type="auto"/>
            <w:vAlign w:val="center"/>
          </w:tcPr>
          <w:p w:rsidR="00AC7665" w:rsidRPr="00800E54" w:rsidRDefault="00AC7665" w:rsidP="00A51AEF">
            <w:pPr>
              <w:pStyle w:val="Tabletext"/>
            </w:pPr>
            <w:r w:rsidRPr="00800E54">
              <w:t>Nominal</w:t>
            </w:r>
          </w:p>
        </w:tc>
        <w:tc>
          <w:tcPr>
            <w:tcW w:w="0" w:type="auto"/>
            <w:tcBorders>
              <w:right w:val="nil"/>
            </w:tcBorders>
            <w:vAlign w:val="center"/>
          </w:tcPr>
          <w:p w:rsidR="00AC7665" w:rsidRPr="00800E54" w:rsidRDefault="00AC7665" w:rsidP="00A51AEF">
            <w:pPr>
              <w:pStyle w:val="Tabletext"/>
            </w:pPr>
            <w:r w:rsidRPr="00800E54">
              <w:t>On a weekday (87.2%), During weekend / public holiday (12.8%)</w:t>
            </w:r>
          </w:p>
        </w:tc>
      </w:tr>
      <w:tr w:rsidR="00AC7665" w:rsidRPr="00800E54" w:rsidTr="00A51AEF">
        <w:tc>
          <w:tcPr>
            <w:tcW w:w="0" w:type="auto"/>
            <w:vMerge/>
            <w:tcBorders>
              <w:left w:val="nil"/>
            </w:tcBorders>
            <w:vAlign w:val="center"/>
          </w:tcPr>
          <w:p w:rsidR="00AC7665" w:rsidRPr="00800E54" w:rsidRDefault="00AC7665" w:rsidP="00A51AEF">
            <w:pPr>
              <w:pStyle w:val="Tabletext"/>
            </w:pPr>
          </w:p>
        </w:tc>
        <w:tc>
          <w:tcPr>
            <w:tcW w:w="0" w:type="auto"/>
            <w:vAlign w:val="center"/>
          </w:tcPr>
          <w:p w:rsidR="00AC7665" w:rsidRPr="00800E54" w:rsidRDefault="00AC7665" w:rsidP="00A51AEF">
            <w:pPr>
              <w:pStyle w:val="Tabletext"/>
            </w:pPr>
            <w:r w:rsidRPr="00800E54">
              <w:t>Q10</w:t>
            </w:r>
          </w:p>
        </w:tc>
        <w:tc>
          <w:tcPr>
            <w:tcW w:w="0" w:type="auto"/>
            <w:vAlign w:val="center"/>
          </w:tcPr>
          <w:p w:rsidR="00AC7665" w:rsidRPr="00800E54" w:rsidRDefault="00AC7665" w:rsidP="00A51AEF">
            <w:pPr>
              <w:pStyle w:val="Tabletext"/>
            </w:pPr>
            <w:r w:rsidRPr="00800E54">
              <w:t>Trip starting time (hour of the day)</w:t>
            </w:r>
          </w:p>
        </w:tc>
        <w:tc>
          <w:tcPr>
            <w:tcW w:w="0" w:type="auto"/>
            <w:vAlign w:val="center"/>
          </w:tcPr>
          <w:p w:rsidR="00AC7665" w:rsidRPr="00800E54" w:rsidRDefault="00AC7665" w:rsidP="00A51AEF">
            <w:pPr>
              <w:pStyle w:val="Tabletext"/>
            </w:pPr>
            <w:r w:rsidRPr="00800E54">
              <w:t>Scale</w:t>
            </w:r>
          </w:p>
        </w:tc>
        <w:tc>
          <w:tcPr>
            <w:tcW w:w="0" w:type="auto"/>
            <w:tcBorders>
              <w:right w:val="nil"/>
            </w:tcBorders>
            <w:vAlign w:val="center"/>
          </w:tcPr>
          <w:p w:rsidR="00AC7665" w:rsidRPr="00800E54" w:rsidRDefault="00AC7665" w:rsidP="00A51AEF">
            <w:pPr>
              <w:pStyle w:val="Tabletext"/>
            </w:pPr>
            <w:r w:rsidRPr="00800E54">
              <w:t>Min 2, Max 22, Mean 8.73, Std. Dev. 2.93</w:t>
            </w:r>
          </w:p>
        </w:tc>
      </w:tr>
      <w:tr w:rsidR="00AC7665" w:rsidRPr="00800E54" w:rsidTr="00A51AEF">
        <w:tc>
          <w:tcPr>
            <w:tcW w:w="0" w:type="auto"/>
            <w:vMerge/>
            <w:tcBorders>
              <w:left w:val="nil"/>
            </w:tcBorders>
            <w:vAlign w:val="center"/>
          </w:tcPr>
          <w:p w:rsidR="00AC7665" w:rsidRPr="00800E54" w:rsidRDefault="00AC7665" w:rsidP="00A51AEF">
            <w:pPr>
              <w:pStyle w:val="Tabletext"/>
            </w:pPr>
          </w:p>
        </w:tc>
        <w:tc>
          <w:tcPr>
            <w:tcW w:w="0" w:type="auto"/>
            <w:vAlign w:val="center"/>
          </w:tcPr>
          <w:p w:rsidR="00AC7665" w:rsidRPr="00800E54" w:rsidRDefault="00AC7665" w:rsidP="00A51AEF">
            <w:pPr>
              <w:pStyle w:val="Tabletext"/>
            </w:pPr>
            <w:r w:rsidRPr="00800E54">
              <w:t>Q11_2</w:t>
            </w:r>
          </w:p>
        </w:tc>
        <w:tc>
          <w:tcPr>
            <w:tcW w:w="0" w:type="auto"/>
            <w:vAlign w:val="center"/>
          </w:tcPr>
          <w:p w:rsidR="00AC7665" w:rsidRPr="00800E54" w:rsidRDefault="00AC7665" w:rsidP="00A51AEF">
            <w:pPr>
              <w:pStyle w:val="Tabletext"/>
            </w:pPr>
            <w:r w:rsidRPr="00800E54">
              <w:t>Average trip duration (min)</w:t>
            </w:r>
          </w:p>
        </w:tc>
        <w:tc>
          <w:tcPr>
            <w:tcW w:w="0" w:type="auto"/>
            <w:vAlign w:val="center"/>
          </w:tcPr>
          <w:p w:rsidR="00AC7665" w:rsidRPr="00800E54" w:rsidRDefault="00AC7665" w:rsidP="00A51AEF">
            <w:pPr>
              <w:pStyle w:val="Tabletext"/>
            </w:pPr>
            <w:r w:rsidRPr="00800E54">
              <w:t>Scale</w:t>
            </w:r>
          </w:p>
        </w:tc>
        <w:tc>
          <w:tcPr>
            <w:tcW w:w="0" w:type="auto"/>
            <w:tcBorders>
              <w:right w:val="nil"/>
            </w:tcBorders>
            <w:vAlign w:val="center"/>
          </w:tcPr>
          <w:p w:rsidR="00AC7665" w:rsidRPr="00800E54" w:rsidRDefault="00AC7665" w:rsidP="00A51AEF">
            <w:pPr>
              <w:pStyle w:val="Tabletext"/>
            </w:pPr>
            <w:r w:rsidRPr="00800E54">
              <w:t>Min 7, Max 205, Mean 49.61, Std. Dev. 31.63</w:t>
            </w:r>
          </w:p>
        </w:tc>
      </w:tr>
      <w:tr w:rsidR="00AC7665" w:rsidRPr="00800E54" w:rsidTr="00A51AEF">
        <w:tc>
          <w:tcPr>
            <w:tcW w:w="0" w:type="auto"/>
            <w:vMerge/>
            <w:tcBorders>
              <w:left w:val="nil"/>
            </w:tcBorders>
            <w:vAlign w:val="center"/>
          </w:tcPr>
          <w:p w:rsidR="00AC7665" w:rsidRPr="00800E54" w:rsidRDefault="00AC7665" w:rsidP="00A51AEF">
            <w:pPr>
              <w:pStyle w:val="Tabletext"/>
            </w:pPr>
          </w:p>
        </w:tc>
        <w:tc>
          <w:tcPr>
            <w:tcW w:w="0" w:type="auto"/>
            <w:vAlign w:val="center"/>
          </w:tcPr>
          <w:p w:rsidR="00AC7665" w:rsidRPr="00800E54" w:rsidRDefault="00AC7665" w:rsidP="00A51AEF">
            <w:pPr>
              <w:pStyle w:val="Tabletext"/>
            </w:pPr>
            <w:r w:rsidRPr="00800E54">
              <w:t>From Q12: mode for the longest trip leg</w:t>
            </w:r>
          </w:p>
        </w:tc>
        <w:tc>
          <w:tcPr>
            <w:tcW w:w="0" w:type="auto"/>
            <w:vAlign w:val="center"/>
          </w:tcPr>
          <w:p w:rsidR="00AC7665" w:rsidRPr="00800E54" w:rsidRDefault="00AC7665" w:rsidP="00A51AEF">
            <w:pPr>
              <w:pStyle w:val="Tabletext"/>
            </w:pPr>
            <w:r w:rsidRPr="00800E54">
              <w:t>Main</w:t>
            </w:r>
          </w:p>
        </w:tc>
        <w:tc>
          <w:tcPr>
            <w:tcW w:w="0" w:type="auto"/>
            <w:vAlign w:val="center"/>
          </w:tcPr>
          <w:p w:rsidR="00AC7665" w:rsidRPr="00800E54" w:rsidRDefault="00AC7665" w:rsidP="00A51AEF">
            <w:pPr>
              <w:pStyle w:val="Tabletext"/>
            </w:pPr>
            <w:r w:rsidRPr="00800E54">
              <w:t>Nominal</w:t>
            </w:r>
          </w:p>
        </w:tc>
        <w:tc>
          <w:tcPr>
            <w:tcW w:w="0" w:type="auto"/>
            <w:tcBorders>
              <w:right w:val="nil"/>
            </w:tcBorders>
            <w:vAlign w:val="center"/>
          </w:tcPr>
          <w:p w:rsidR="00AC7665" w:rsidRPr="00800E54" w:rsidRDefault="00AC7665" w:rsidP="00A51AEF">
            <w:pPr>
              <w:pStyle w:val="Tabletext"/>
            </w:pPr>
            <w:r w:rsidRPr="00800E54">
              <w:t>Train (28.5%), Intercity bus (9.5%), Urban bus/tram (31.8%), Underground (30.2%)</w:t>
            </w:r>
          </w:p>
        </w:tc>
      </w:tr>
      <w:tr w:rsidR="00AC7665" w:rsidRPr="00800E54" w:rsidTr="00A51AEF">
        <w:tc>
          <w:tcPr>
            <w:tcW w:w="0" w:type="auto"/>
            <w:vMerge/>
            <w:tcBorders>
              <w:left w:val="nil"/>
            </w:tcBorders>
            <w:vAlign w:val="center"/>
          </w:tcPr>
          <w:p w:rsidR="00AC7665" w:rsidRPr="00800E54" w:rsidRDefault="00AC7665" w:rsidP="00A51AEF">
            <w:pPr>
              <w:pStyle w:val="Tabletext"/>
            </w:pPr>
          </w:p>
        </w:tc>
        <w:tc>
          <w:tcPr>
            <w:tcW w:w="0" w:type="auto"/>
            <w:vAlign w:val="center"/>
          </w:tcPr>
          <w:p w:rsidR="00AC7665" w:rsidRPr="00800E54" w:rsidRDefault="00AC7665" w:rsidP="00A51AEF">
            <w:pPr>
              <w:pStyle w:val="Tabletext"/>
            </w:pPr>
            <w:r w:rsidRPr="00800E54">
              <w:t>Q13</w:t>
            </w:r>
          </w:p>
        </w:tc>
        <w:tc>
          <w:tcPr>
            <w:tcW w:w="0" w:type="auto"/>
            <w:vAlign w:val="center"/>
          </w:tcPr>
          <w:p w:rsidR="00AC7665" w:rsidRPr="00800E54" w:rsidRDefault="00AC7665" w:rsidP="00A51AEF">
            <w:pPr>
              <w:pStyle w:val="Tabletext"/>
            </w:pPr>
            <w:r w:rsidRPr="00800E54">
              <w:t>Minimum number of transfer</w:t>
            </w:r>
          </w:p>
        </w:tc>
        <w:tc>
          <w:tcPr>
            <w:tcW w:w="0" w:type="auto"/>
            <w:vAlign w:val="center"/>
          </w:tcPr>
          <w:p w:rsidR="00AC7665" w:rsidRPr="00800E54" w:rsidRDefault="00AC7665" w:rsidP="00A51AEF">
            <w:pPr>
              <w:pStyle w:val="Tabletext"/>
            </w:pPr>
            <w:r w:rsidRPr="00800E54">
              <w:t>Scale</w:t>
            </w:r>
          </w:p>
        </w:tc>
        <w:tc>
          <w:tcPr>
            <w:tcW w:w="0" w:type="auto"/>
            <w:tcBorders>
              <w:right w:val="nil"/>
            </w:tcBorders>
            <w:vAlign w:val="center"/>
          </w:tcPr>
          <w:p w:rsidR="00AC7665" w:rsidRPr="00800E54" w:rsidRDefault="00AC7665" w:rsidP="00A51AEF">
            <w:pPr>
              <w:pStyle w:val="Tabletext"/>
            </w:pPr>
            <w:r w:rsidRPr="00800E54">
              <w:t>Min 0, Max 5, Mean 0.96, Std. Dev. 0.91</w:t>
            </w:r>
          </w:p>
        </w:tc>
      </w:tr>
      <w:tr w:rsidR="00AC7665" w:rsidRPr="00800E54" w:rsidTr="00A51AEF">
        <w:tc>
          <w:tcPr>
            <w:tcW w:w="0" w:type="auto"/>
            <w:vMerge/>
            <w:tcBorders>
              <w:left w:val="nil"/>
            </w:tcBorders>
            <w:vAlign w:val="center"/>
          </w:tcPr>
          <w:p w:rsidR="00AC7665" w:rsidRPr="00800E54" w:rsidRDefault="00AC7665" w:rsidP="00A51AEF">
            <w:pPr>
              <w:pStyle w:val="Tabletext"/>
            </w:pPr>
          </w:p>
        </w:tc>
        <w:tc>
          <w:tcPr>
            <w:tcW w:w="0" w:type="auto"/>
            <w:vAlign w:val="center"/>
          </w:tcPr>
          <w:p w:rsidR="00AC7665" w:rsidRPr="00800E54" w:rsidRDefault="00AC7665" w:rsidP="00A51AEF">
            <w:pPr>
              <w:pStyle w:val="Tabletext"/>
            </w:pPr>
            <w:r w:rsidRPr="00800E54">
              <w:t>Q14</w:t>
            </w:r>
          </w:p>
        </w:tc>
        <w:tc>
          <w:tcPr>
            <w:tcW w:w="0" w:type="auto"/>
            <w:vAlign w:val="center"/>
          </w:tcPr>
          <w:p w:rsidR="00AC7665" w:rsidRPr="00800E54" w:rsidRDefault="00AC7665" w:rsidP="00A51AEF">
            <w:pPr>
              <w:pStyle w:val="Tabletext"/>
            </w:pPr>
            <w:r w:rsidRPr="00800E54">
              <w:t>Length of transfers</w:t>
            </w:r>
          </w:p>
        </w:tc>
        <w:tc>
          <w:tcPr>
            <w:tcW w:w="0" w:type="auto"/>
            <w:vAlign w:val="center"/>
          </w:tcPr>
          <w:p w:rsidR="00AC7665" w:rsidRPr="00800E54" w:rsidRDefault="00AC7665" w:rsidP="00A51AEF">
            <w:pPr>
              <w:pStyle w:val="Tabletext"/>
            </w:pPr>
            <w:r w:rsidRPr="00800E54">
              <w:t>Ordinal</w:t>
            </w:r>
          </w:p>
        </w:tc>
        <w:tc>
          <w:tcPr>
            <w:tcW w:w="0" w:type="auto"/>
            <w:tcBorders>
              <w:right w:val="nil"/>
            </w:tcBorders>
            <w:vAlign w:val="center"/>
          </w:tcPr>
          <w:p w:rsidR="00AC7665" w:rsidRPr="00800E54" w:rsidRDefault="00AC7665" w:rsidP="00A51AEF">
            <w:pPr>
              <w:pStyle w:val="Tabletext"/>
            </w:pPr>
            <w:r w:rsidRPr="00800E54">
              <w:t>No transfer (34.8%), At most short transfers (less than 3 minutes) (40.8%), At most medium transfers (3-8 minutes) (17.6%), Also long transfers (more than 8 minutes) (6.7%)</w:t>
            </w:r>
          </w:p>
        </w:tc>
      </w:tr>
      <w:tr w:rsidR="00AC7665" w:rsidRPr="00800E54" w:rsidTr="00A51AEF">
        <w:tc>
          <w:tcPr>
            <w:tcW w:w="0" w:type="auto"/>
            <w:vMerge/>
            <w:tcBorders>
              <w:left w:val="nil"/>
            </w:tcBorders>
            <w:vAlign w:val="center"/>
          </w:tcPr>
          <w:p w:rsidR="00AC7665" w:rsidRPr="00800E54" w:rsidRDefault="00AC7665" w:rsidP="00A51AEF">
            <w:pPr>
              <w:pStyle w:val="Tabletext"/>
            </w:pPr>
          </w:p>
        </w:tc>
        <w:tc>
          <w:tcPr>
            <w:tcW w:w="0" w:type="auto"/>
            <w:vAlign w:val="center"/>
          </w:tcPr>
          <w:p w:rsidR="00AC7665" w:rsidRPr="00800E54" w:rsidRDefault="00AC7665" w:rsidP="00A51AEF">
            <w:pPr>
              <w:pStyle w:val="Tabletext"/>
            </w:pPr>
            <w:r w:rsidRPr="00800E54">
              <w:t>Q15</w:t>
            </w:r>
          </w:p>
        </w:tc>
        <w:tc>
          <w:tcPr>
            <w:tcW w:w="0" w:type="auto"/>
            <w:vAlign w:val="center"/>
          </w:tcPr>
          <w:p w:rsidR="00AC7665" w:rsidRPr="00800E54" w:rsidRDefault="00AC7665" w:rsidP="00A51AEF">
            <w:pPr>
              <w:pStyle w:val="Tabletext"/>
            </w:pPr>
            <w:r w:rsidRPr="00800E54">
              <w:t>Usual congestion</w:t>
            </w:r>
          </w:p>
        </w:tc>
        <w:tc>
          <w:tcPr>
            <w:tcW w:w="0" w:type="auto"/>
            <w:vAlign w:val="center"/>
          </w:tcPr>
          <w:p w:rsidR="00AC7665" w:rsidRPr="00800E54" w:rsidRDefault="00AC7665" w:rsidP="00A51AEF">
            <w:pPr>
              <w:pStyle w:val="Tabletext"/>
            </w:pPr>
            <w:r w:rsidRPr="00800E54">
              <w:t>Ordinal</w:t>
            </w:r>
          </w:p>
        </w:tc>
        <w:tc>
          <w:tcPr>
            <w:tcW w:w="0" w:type="auto"/>
            <w:tcBorders>
              <w:right w:val="nil"/>
            </w:tcBorders>
            <w:vAlign w:val="center"/>
          </w:tcPr>
          <w:p w:rsidR="00AC7665" w:rsidRPr="00800E54" w:rsidRDefault="00AC7665" w:rsidP="00A51AEF">
            <w:pPr>
              <w:pStyle w:val="Tabletext"/>
            </w:pPr>
            <w:r w:rsidRPr="00800E54">
              <w:t>You can always find a seat (18.1%), Sometimes you have to stand (49.4%), You always have to stand (17.9%), Sometimes you can’t get onto the first vehicle (14.6%)</w:t>
            </w:r>
          </w:p>
        </w:tc>
      </w:tr>
    </w:tbl>
    <w:p w:rsidR="00AC7665" w:rsidRPr="00800E54" w:rsidRDefault="00AC7665" w:rsidP="00724947">
      <w:pPr>
        <w:widowControl/>
        <w:rPr>
          <w:rFonts w:ascii="Times New Roman" w:eastAsia="MS PGothic" w:hAnsi="Times New Roman"/>
          <w:kern w:val="0"/>
          <w:sz w:val="24"/>
          <w:lang w:val="en-GB"/>
        </w:rPr>
      </w:pPr>
    </w:p>
    <w:p w:rsidR="00AC7665" w:rsidRPr="00800E54" w:rsidRDefault="00AC7665" w:rsidP="00724947">
      <w:pPr>
        <w:widowControl/>
        <w:rPr>
          <w:rFonts w:ascii="Times New Roman" w:eastAsia="MS PGothic" w:hAnsi="Times New Roman"/>
          <w:kern w:val="0"/>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A model is selected with 2 well characterised clusters</w:t>
      </w:r>
      <w:r w:rsidR="00585CB7" w:rsidRPr="00800E54">
        <w:rPr>
          <w:rFonts w:ascii="Times New Roman" w:eastAsia="MS PGothic" w:hAnsi="Times New Roman"/>
          <w:kern w:val="0"/>
          <w:sz w:val="24"/>
          <w:lang w:val="en-GB"/>
        </w:rPr>
        <w:t xml:space="preserve"> (see the Appendix for details)</w:t>
      </w:r>
      <w:r w:rsidRPr="00800E54">
        <w:rPr>
          <w:rFonts w:ascii="Times New Roman" w:eastAsia="MS PGothic" w:hAnsi="Times New Roman"/>
          <w:kern w:val="0"/>
          <w:sz w:val="24"/>
          <w:lang w:val="en-GB"/>
        </w:rPr>
        <w:t>. The most influential variable in clustering is Trip purpose, followed by Trip week day, Familiarity with PT and Importance of punctuality. Cluster 1 includes 77% cases, 96% of which concern trips for commuting reasons (working or studying). All trips take place in a weekday and 77% of the travellers use PT more than 2-3 times a week. Considering such characteristics, this group seems to gather the demand segment of “Commuting trips of very experienced travellers”. 63% of trips in Cluster 2 are for purposes such as leisure, sport</w:t>
      </w:r>
      <w:r w:rsidR="00287199" w:rsidRPr="00800E54">
        <w:rPr>
          <w:rFonts w:ascii="Times New Roman" w:eastAsia="MS PGothic" w:hAnsi="Times New Roman"/>
          <w:kern w:val="0"/>
          <w:sz w:val="24"/>
          <w:lang w:val="en-GB"/>
        </w:rPr>
        <w:t xml:space="preserve"> or</w:t>
      </w:r>
      <w:r w:rsidRPr="00800E54">
        <w:rPr>
          <w:rFonts w:ascii="Times New Roman" w:eastAsia="MS PGothic" w:hAnsi="Times New Roman"/>
          <w:kern w:val="0"/>
          <w:sz w:val="24"/>
          <w:lang w:val="en-GB"/>
        </w:rPr>
        <w:t xml:space="preserve"> visiting. Travellers are distributed quite evenly among the different categories of Familiarity with PT (the frequency of the modal category – “2-3 times a month” – is 25%) and trips are made both in weekends (56%) and weekdays. Therefore Cluster 2 can be profiled as “Trips for other purposes”.</w:t>
      </w:r>
    </w:p>
    <w:p w:rsidR="00AC7665" w:rsidRPr="00800E54" w:rsidRDefault="00AC7665" w:rsidP="00AC7665">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lastRenderedPageBreak/>
        <w:t>4.3</w:t>
      </w:r>
      <w:r w:rsidRPr="00800E54">
        <w:rPr>
          <w:lang w:val="en-GB"/>
        </w:rPr>
        <w:t xml:space="preserve"> </w:t>
      </w:r>
      <w:r w:rsidRPr="00800E54">
        <w:rPr>
          <w:rFonts w:ascii="Times New Roman" w:hAnsi="Times New Roman"/>
          <w:b/>
          <w:kern w:val="0"/>
          <w:sz w:val="24"/>
          <w:lang w:val="en-GB"/>
        </w:rPr>
        <w:t>Behavioural Clusters</w:t>
      </w:r>
    </w:p>
    <w:p w:rsidR="00AC7665" w:rsidRPr="00800E54" w:rsidRDefault="00AC7665" w:rsidP="00AC7665">
      <w:pPr>
        <w:tabs>
          <w:tab w:val="left" w:pos="993"/>
        </w:tabs>
        <w:rPr>
          <w:rFonts w:ascii="Times New Roman" w:hAnsi="Times New Roman"/>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The characteristics of the choices with which respondents were presented in questions Q29, Q31-33 are shown in Table 5. Clustering is performed considering a nominal variable for each question because</w:t>
      </w:r>
      <w:r w:rsidR="00287199" w:rsidRPr="00800E54">
        <w:rPr>
          <w:rFonts w:ascii="Times New Roman" w:eastAsia="MS PGothic" w:hAnsi="Times New Roman"/>
          <w:kern w:val="0"/>
          <w:sz w:val="24"/>
          <w:lang w:val="en-GB"/>
        </w:rPr>
        <w:t>,</w:t>
      </w:r>
      <w:r w:rsidRPr="00800E54">
        <w:rPr>
          <w:rFonts w:ascii="Times New Roman" w:eastAsia="MS PGothic" w:hAnsi="Times New Roman"/>
          <w:kern w:val="0"/>
          <w:sz w:val="24"/>
          <w:lang w:val="en-GB"/>
        </w:rPr>
        <w:t xml:space="preserve"> although </w:t>
      </w:r>
      <w:r w:rsidR="00585CB7" w:rsidRPr="00800E54">
        <w:rPr>
          <w:rFonts w:ascii="Times New Roman" w:eastAsia="MS PGothic" w:hAnsi="Times New Roman"/>
          <w:kern w:val="0"/>
          <w:sz w:val="24"/>
          <w:lang w:val="en-GB"/>
        </w:rPr>
        <w:t>the dependent variable</w:t>
      </w:r>
      <w:r w:rsidRPr="00800E54">
        <w:rPr>
          <w:rFonts w:ascii="Times New Roman" w:eastAsia="MS PGothic" w:hAnsi="Times New Roman"/>
          <w:kern w:val="0"/>
          <w:sz w:val="24"/>
          <w:lang w:val="en-GB"/>
        </w:rPr>
        <w:t xml:space="preserve"> </w:t>
      </w:r>
      <w:r w:rsidR="00585CB7" w:rsidRPr="00800E54">
        <w:rPr>
          <w:rFonts w:ascii="Times New Roman" w:eastAsia="MS PGothic" w:hAnsi="Times New Roman"/>
          <w:kern w:val="0"/>
          <w:sz w:val="24"/>
          <w:lang w:val="en-GB"/>
        </w:rPr>
        <w:t xml:space="preserve">is </w:t>
      </w:r>
      <w:r w:rsidRPr="00800E54">
        <w:rPr>
          <w:rFonts w:ascii="Times New Roman" w:eastAsia="MS PGothic" w:hAnsi="Times New Roman"/>
          <w:kern w:val="0"/>
          <w:sz w:val="24"/>
          <w:lang w:val="en-GB"/>
        </w:rPr>
        <w:t xml:space="preserve">numerical, the number of values for each feature is deemed too limited </w:t>
      </w:r>
      <w:r w:rsidR="00585CB7" w:rsidRPr="00800E54">
        <w:rPr>
          <w:rFonts w:ascii="Times New Roman" w:eastAsia="MS PGothic" w:hAnsi="Times New Roman"/>
          <w:kern w:val="0"/>
          <w:sz w:val="24"/>
          <w:lang w:val="en-GB"/>
        </w:rPr>
        <w:t xml:space="preserve">for </w:t>
      </w:r>
      <w:r w:rsidRPr="00800E54">
        <w:rPr>
          <w:rFonts w:ascii="Times New Roman" w:eastAsia="MS PGothic" w:hAnsi="Times New Roman"/>
          <w:kern w:val="0"/>
          <w:sz w:val="24"/>
          <w:lang w:val="en-GB"/>
        </w:rPr>
        <w:t xml:space="preserve">interval variable analysis. Spiess and Florian’s model is used to calculate the expected times of the hyperpath choices, assuming a uniform distribution of </w:t>
      </w:r>
      <w:r w:rsidR="00585CB7" w:rsidRPr="00800E54">
        <w:rPr>
          <w:rFonts w:ascii="Times New Roman" w:eastAsia="MS PGothic" w:hAnsi="Times New Roman"/>
          <w:kern w:val="0"/>
          <w:sz w:val="24"/>
          <w:lang w:val="en-GB"/>
        </w:rPr>
        <w:t xml:space="preserve">passenger </w:t>
      </w:r>
      <w:r w:rsidRPr="00800E54">
        <w:rPr>
          <w:rFonts w:ascii="Times New Roman" w:eastAsia="MS PGothic" w:hAnsi="Times New Roman"/>
          <w:kern w:val="0"/>
          <w:sz w:val="24"/>
          <w:lang w:val="en-GB"/>
        </w:rPr>
        <w:t>arrival. Since the clustering is performed considering only the choice (e.g., “You will definitely use line 1”) and not the characteristics of each choice, this assumption affects the interpretation of results but not the cluster composition. In all questions the choice set is made up of two lines plus the hyperpath option. Calculating the expected travel time</w:t>
      </w:r>
      <w:r w:rsidR="00C9399D" w:rsidRPr="00800E54">
        <w:rPr>
          <w:rFonts w:ascii="Times New Roman" w:eastAsia="MS PGothic" w:hAnsi="Times New Roman"/>
          <w:kern w:val="0"/>
          <w:sz w:val="24"/>
          <w:lang w:val="en-GB"/>
        </w:rPr>
        <w:t xml:space="preserve"> under the assump</w:t>
      </w:r>
      <w:r w:rsidR="00A4165E" w:rsidRPr="00800E54">
        <w:rPr>
          <w:rFonts w:ascii="Times New Roman" w:eastAsia="MS PGothic" w:hAnsi="Times New Roman"/>
          <w:kern w:val="0"/>
          <w:sz w:val="24"/>
          <w:lang w:val="en-GB"/>
        </w:rPr>
        <w:t>tion of exponentially distributed headways</w:t>
      </w:r>
      <w:r w:rsidRPr="00800E54">
        <w:rPr>
          <w:rFonts w:ascii="Times New Roman" w:eastAsia="MS PGothic" w:hAnsi="Times New Roman"/>
          <w:kern w:val="0"/>
          <w:sz w:val="24"/>
          <w:lang w:val="en-GB"/>
        </w:rPr>
        <w:t xml:space="preserve">, the hyperpath option </w:t>
      </w:r>
      <w:r w:rsidR="00287199" w:rsidRPr="00800E54">
        <w:rPr>
          <w:rFonts w:ascii="Times New Roman" w:eastAsia="MS PGothic" w:hAnsi="Times New Roman"/>
          <w:kern w:val="0"/>
          <w:sz w:val="24"/>
          <w:lang w:val="en-GB"/>
        </w:rPr>
        <w:t xml:space="preserve">(“Take whichever line arrives first”) </w:t>
      </w:r>
      <w:r w:rsidRPr="00800E54">
        <w:rPr>
          <w:rFonts w:ascii="Times New Roman" w:eastAsia="MS PGothic" w:hAnsi="Times New Roman"/>
          <w:kern w:val="0"/>
          <w:sz w:val="24"/>
          <w:lang w:val="en-GB"/>
        </w:rPr>
        <w:t>is the fastest in every question.</w:t>
      </w:r>
    </w:p>
    <w:p w:rsidR="002B4B8E" w:rsidRPr="00800E54" w:rsidRDefault="002B4B8E" w:rsidP="00AC7665">
      <w:pPr>
        <w:widowControl/>
        <w:ind w:firstLineChars="250" w:firstLine="600"/>
        <w:rPr>
          <w:rFonts w:ascii="Times New Roman" w:eastAsia="MS PGothic" w:hAnsi="Times New Roman"/>
          <w:kern w:val="0"/>
          <w:sz w:val="24"/>
          <w:lang w:val="en-GB"/>
        </w:rPr>
      </w:pPr>
    </w:p>
    <w:p w:rsidR="00AC7665" w:rsidRPr="00800E54" w:rsidRDefault="00AC7665" w:rsidP="00AC7665">
      <w:pPr>
        <w:tabs>
          <w:tab w:val="left" w:pos="993"/>
        </w:tabs>
        <w:jc w:val="center"/>
        <w:rPr>
          <w:rFonts w:ascii="Times New Roman" w:hAnsi="Times New Roman"/>
          <w:sz w:val="24"/>
          <w:lang w:val="en-GB"/>
        </w:rPr>
      </w:pPr>
      <w:r w:rsidRPr="00800E54">
        <w:rPr>
          <w:rFonts w:ascii="Times New Roman" w:hAnsi="Times New Roman"/>
          <w:sz w:val="24"/>
          <w:lang w:val="en-GB"/>
        </w:rPr>
        <w:t>Table 5. Characteristics of the variables in the SP questions used for behaviour clusters</w:t>
      </w:r>
    </w:p>
    <w:tbl>
      <w:tblPr>
        <w:tblStyle w:val="TableGrid"/>
        <w:tblW w:w="0" w:type="auto"/>
        <w:tblLook w:val="04A0" w:firstRow="1" w:lastRow="0" w:firstColumn="1" w:lastColumn="0" w:noHBand="0" w:noVBand="1"/>
      </w:tblPr>
      <w:tblGrid>
        <w:gridCol w:w="1377"/>
        <w:gridCol w:w="1708"/>
        <w:gridCol w:w="1276"/>
        <w:gridCol w:w="1360"/>
        <w:gridCol w:w="1445"/>
        <w:gridCol w:w="1554"/>
      </w:tblGrid>
      <w:tr w:rsidR="00AC7665" w:rsidRPr="00800E54" w:rsidTr="002B4B8E">
        <w:tc>
          <w:tcPr>
            <w:tcW w:w="1377" w:type="dxa"/>
            <w:tcBorders>
              <w:left w:val="nil"/>
            </w:tcBorders>
            <w:vAlign w:val="center"/>
          </w:tcPr>
          <w:p w:rsidR="00AC7665" w:rsidRPr="00800E54" w:rsidRDefault="00AC7665" w:rsidP="00A51AEF">
            <w:pPr>
              <w:pStyle w:val="Tabletext"/>
              <w:rPr>
                <w:b/>
              </w:rPr>
            </w:pPr>
            <w:r w:rsidRPr="00800E54">
              <w:rPr>
                <w:b/>
              </w:rPr>
              <w:t>Question</w:t>
            </w:r>
          </w:p>
          <w:p w:rsidR="00AC7665" w:rsidRPr="00800E54" w:rsidRDefault="00AC7665" w:rsidP="00A51AEF">
            <w:pPr>
              <w:pStyle w:val="Tabletext"/>
              <w:rPr>
                <w:b/>
              </w:rPr>
            </w:pPr>
            <w:r w:rsidRPr="00800E54">
              <w:rPr>
                <w:b/>
              </w:rPr>
              <w:t>(Variable)</w:t>
            </w:r>
          </w:p>
        </w:tc>
        <w:tc>
          <w:tcPr>
            <w:tcW w:w="1708" w:type="dxa"/>
            <w:vAlign w:val="center"/>
          </w:tcPr>
          <w:p w:rsidR="00AC7665" w:rsidRPr="00800E54" w:rsidRDefault="00AC7665" w:rsidP="00A51AEF">
            <w:pPr>
              <w:pStyle w:val="Tabletext"/>
              <w:rPr>
                <w:b/>
              </w:rPr>
            </w:pPr>
            <w:r w:rsidRPr="00800E54">
              <w:rPr>
                <w:b/>
              </w:rPr>
              <w:t>Option</w:t>
            </w:r>
          </w:p>
        </w:tc>
        <w:tc>
          <w:tcPr>
            <w:tcW w:w="1276" w:type="dxa"/>
            <w:vAlign w:val="center"/>
          </w:tcPr>
          <w:p w:rsidR="00AC7665" w:rsidRPr="00800E54" w:rsidRDefault="00AC7665" w:rsidP="00A51AEF">
            <w:pPr>
              <w:pStyle w:val="Tabletext"/>
              <w:rPr>
                <w:b/>
              </w:rPr>
            </w:pPr>
            <w:r w:rsidRPr="00800E54">
              <w:rPr>
                <w:b/>
              </w:rPr>
              <w:t>On-board time (min)</w:t>
            </w:r>
          </w:p>
        </w:tc>
        <w:tc>
          <w:tcPr>
            <w:tcW w:w="1360" w:type="dxa"/>
            <w:vAlign w:val="center"/>
          </w:tcPr>
          <w:p w:rsidR="00AC7665" w:rsidRPr="00800E54" w:rsidRDefault="00AC7665" w:rsidP="00A51AEF">
            <w:pPr>
              <w:pStyle w:val="Tabletext"/>
              <w:rPr>
                <w:b/>
              </w:rPr>
            </w:pPr>
            <w:r w:rsidRPr="00800E54">
              <w:rPr>
                <w:b/>
              </w:rPr>
              <w:t>Waiting time (min)</w:t>
            </w:r>
          </w:p>
        </w:tc>
        <w:tc>
          <w:tcPr>
            <w:tcW w:w="1445" w:type="dxa"/>
            <w:vAlign w:val="center"/>
          </w:tcPr>
          <w:p w:rsidR="00AC7665" w:rsidRPr="00800E54" w:rsidRDefault="00AC7665" w:rsidP="00A51AEF">
            <w:pPr>
              <w:pStyle w:val="Tabletext"/>
              <w:rPr>
                <w:b/>
              </w:rPr>
            </w:pPr>
            <w:r w:rsidRPr="00800E54">
              <w:rPr>
                <w:b/>
              </w:rPr>
              <w:t>Total travel time (min)</w:t>
            </w:r>
          </w:p>
        </w:tc>
        <w:tc>
          <w:tcPr>
            <w:tcW w:w="1554" w:type="dxa"/>
            <w:tcBorders>
              <w:right w:val="nil"/>
            </w:tcBorders>
            <w:vAlign w:val="center"/>
          </w:tcPr>
          <w:p w:rsidR="00AC7665" w:rsidRPr="00800E54" w:rsidRDefault="00AC7665" w:rsidP="00A51AEF">
            <w:pPr>
              <w:pStyle w:val="Tabletext"/>
              <w:rPr>
                <w:b/>
              </w:rPr>
            </w:pPr>
            <w:r w:rsidRPr="00800E54">
              <w:rPr>
                <w:b/>
              </w:rPr>
              <w:t>Transfers (number)</w:t>
            </w:r>
          </w:p>
        </w:tc>
      </w:tr>
      <w:tr w:rsidR="00AC7665" w:rsidRPr="00800E54" w:rsidTr="002B4B8E">
        <w:tc>
          <w:tcPr>
            <w:tcW w:w="1377" w:type="dxa"/>
            <w:vMerge w:val="restart"/>
            <w:tcBorders>
              <w:left w:val="nil"/>
            </w:tcBorders>
            <w:vAlign w:val="center"/>
          </w:tcPr>
          <w:p w:rsidR="00AC7665" w:rsidRPr="00800E54" w:rsidRDefault="00AC7665" w:rsidP="00A51AEF">
            <w:pPr>
              <w:pStyle w:val="Tabletext"/>
            </w:pPr>
            <w:r w:rsidRPr="00800E54">
              <w:t>Q29</w:t>
            </w:r>
          </w:p>
          <w:p w:rsidR="00AC7665" w:rsidRPr="00800E54" w:rsidRDefault="00AC7665" w:rsidP="00A51AEF">
            <w:pPr>
              <w:pStyle w:val="Tabletext"/>
            </w:pPr>
            <w:r w:rsidRPr="00800E54">
              <w:t>(Nchoice1)</w:t>
            </w:r>
          </w:p>
        </w:tc>
        <w:tc>
          <w:tcPr>
            <w:tcW w:w="1708" w:type="dxa"/>
            <w:vAlign w:val="center"/>
          </w:tcPr>
          <w:p w:rsidR="00AC7665" w:rsidRPr="00800E54" w:rsidRDefault="00AC7665" w:rsidP="00A51AEF">
            <w:pPr>
              <w:pStyle w:val="Tabletext"/>
            </w:pPr>
            <w:r w:rsidRPr="00800E54">
              <w:t>Line 1 (3.2%)</w:t>
            </w:r>
          </w:p>
        </w:tc>
        <w:tc>
          <w:tcPr>
            <w:tcW w:w="1276" w:type="dxa"/>
            <w:vAlign w:val="center"/>
          </w:tcPr>
          <w:p w:rsidR="00AC7665" w:rsidRPr="00800E54" w:rsidRDefault="00AC7665" w:rsidP="00A51AEF">
            <w:pPr>
              <w:pStyle w:val="Tabletext"/>
            </w:pPr>
            <w:r w:rsidRPr="00800E54">
              <w:t>10</w:t>
            </w:r>
          </w:p>
        </w:tc>
        <w:tc>
          <w:tcPr>
            <w:tcW w:w="1360" w:type="dxa"/>
            <w:vAlign w:val="center"/>
          </w:tcPr>
          <w:p w:rsidR="00AC7665" w:rsidRPr="00800E54" w:rsidRDefault="00AC7665" w:rsidP="00A51AEF">
            <w:pPr>
              <w:pStyle w:val="Tabletext"/>
            </w:pPr>
            <w:r w:rsidRPr="00800E54">
              <w:t>15</w:t>
            </w:r>
          </w:p>
        </w:tc>
        <w:tc>
          <w:tcPr>
            <w:tcW w:w="1445" w:type="dxa"/>
            <w:vAlign w:val="center"/>
          </w:tcPr>
          <w:p w:rsidR="00AC7665" w:rsidRPr="00800E54" w:rsidRDefault="00AC7665" w:rsidP="00A51AEF">
            <w:pPr>
              <w:pStyle w:val="Tabletext"/>
            </w:pPr>
            <w:r w:rsidRPr="00800E54">
              <w:t>25</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Line 2* (12.2%)</w:t>
            </w:r>
          </w:p>
        </w:tc>
        <w:tc>
          <w:tcPr>
            <w:tcW w:w="1276" w:type="dxa"/>
            <w:vAlign w:val="center"/>
          </w:tcPr>
          <w:p w:rsidR="00AC7665" w:rsidRPr="00800E54" w:rsidRDefault="00AC7665" w:rsidP="00A51AEF">
            <w:pPr>
              <w:pStyle w:val="Tabletext"/>
            </w:pPr>
            <w:r w:rsidRPr="00800E54">
              <w:t>14</w:t>
            </w:r>
          </w:p>
        </w:tc>
        <w:tc>
          <w:tcPr>
            <w:tcW w:w="1360" w:type="dxa"/>
            <w:vAlign w:val="center"/>
          </w:tcPr>
          <w:p w:rsidR="00AC7665" w:rsidRPr="00800E54" w:rsidRDefault="00AC7665" w:rsidP="00A51AEF">
            <w:pPr>
              <w:pStyle w:val="Tabletext"/>
            </w:pPr>
            <w:r w:rsidRPr="00800E54">
              <w:t>5</w:t>
            </w:r>
          </w:p>
        </w:tc>
        <w:tc>
          <w:tcPr>
            <w:tcW w:w="1445" w:type="dxa"/>
            <w:vAlign w:val="center"/>
          </w:tcPr>
          <w:p w:rsidR="00AC7665" w:rsidRPr="00800E54" w:rsidRDefault="00AC7665" w:rsidP="00A51AEF">
            <w:pPr>
              <w:pStyle w:val="Tabletext"/>
            </w:pPr>
            <w:r w:rsidRPr="00800E54">
              <w:t>19</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The first arriving (84.3%)</w:t>
            </w:r>
          </w:p>
        </w:tc>
        <w:tc>
          <w:tcPr>
            <w:tcW w:w="1276" w:type="dxa"/>
            <w:vAlign w:val="center"/>
          </w:tcPr>
          <w:p w:rsidR="00AC7665" w:rsidRPr="00800E54" w:rsidRDefault="00AC7665" w:rsidP="00A51AEF">
            <w:pPr>
              <w:pStyle w:val="Tabletext"/>
            </w:pPr>
            <w:r w:rsidRPr="00800E54">
              <w:t>13</w:t>
            </w:r>
          </w:p>
        </w:tc>
        <w:tc>
          <w:tcPr>
            <w:tcW w:w="1360" w:type="dxa"/>
            <w:vAlign w:val="center"/>
          </w:tcPr>
          <w:p w:rsidR="00AC7665" w:rsidRPr="00800E54" w:rsidRDefault="00AC7665" w:rsidP="00A51AEF">
            <w:pPr>
              <w:pStyle w:val="Tabletext"/>
            </w:pPr>
            <w:r w:rsidRPr="00800E54">
              <w:t>3.75</w:t>
            </w:r>
          </w:p>
        </w:tc>
        <w:tc>
          <w:tcPr>
            <w:tcW w:w="1445" w:type="dxa"/>
            <w:vAlign w:val="center"/>
          </w:tcPr>
          <w:p w:rsidR="00AC7665" w:rsidRPr="00800E54" w:rsidRDefault="00AC7665" w:rsidP="00A51AEF">
            <w:pPr>
              <w:pStyle w:val="Tabletext"/>
            </w:pPr>
            <w:r w:rsidRPr="00800E54">
              <w:t>16.75</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val="restart"/>
            <w:tcBorders>
              <w:left w:val="nil"/>
            </w:tcBorders>
            <w:vAlign w:val="center"/>
          </w:tcPr>
          <w:p w:rsidR="00AC7665" w:rsidRPr="00800E54" w:rsidRDefault="00AC7665" w:rsidP="00A51AEF">
            <w:pPr>
              <w:pStyle w:val="Tabletext"/>
            </w:pPr>
            <w:r w:rsidRPr="00800E54">
              <w:t>Q31 – first section</w:t>
            </w:r>
          </w:p>
          <w:p w:rsidR="00AC7665" w:rsidRPr="00800E54" w:rsidRDefault="00AC7665" w:rsidP="00A51AEF">
            <w:pPr>
              <w:pStyle w:val="Tabletext"/>
            </w:pPr>
            <w:r w:rsidRPr="00800E54">
              <w:t>(Nchoice2)</w:t>
            </w:r>
          </w:p>
        </w:tc>
        <w:tc>
          <w:tcPr>
            <w:tcW w:w="1708" w:type="dxa"/>
            <w:vAlign w:val="center"/>
          </w:tcPr>
          <w:p w:rsidR="00AC7665" w:rsidRPr="00800E54" w:rsidRDefault="00AC7665" w:rsidP="00A51AEF">
            <w:pPr>
              <w:pStyle w:val="Tabletext"/>
            </w:pPr>
            <w:r w:rsidRPr="00800E54">
              <w:t>Line 1 (7.1%)</w:t>
            </w:r>
          </w:p>
        </w:tc>
        <w:tc>
          <w:tcPr>
            <w:tcW w:w="1276" w:type="dxa"/>
            <w:vAlign w:val="center"/>
          </w:tcPr>
          <w:p w:rsidR="00AC7665" w:rsidRPr="00800E54" w:rsidRDefault="00AC7665" w:rsidP="00A51AEF">
            <w:pPr>
              <w:pStyle w:val="Tabletext"/>
            </w:pPr>
            <w:r w:rsidRPr="00800E54">
              <w:t>10</w:t>
            </w:r>
          </w:p>
        </w:tc>
        <w:tc>
          <w:tcPr>
            <w:tcW w:w="1360" w:type="dxa"/>
            <w:vAlign w:val="center"/>
          </w:tcPr>
          <w:p w:rsidR="00AC7665" w:rsidRPr="00800E54" w:rsidRDefault="00AC7665" w:rsidP="00A51AEF">
            <w:pPr>
              <w:pStyle w:val="Tabletext"/>
            </w:pPr>
            <w:r w:rsidRPr="00800E54">
              <w:t>15</w:t>
            </w:r>
          </w:p>
        </w:tc>
        <w:tc>
          <w:tcPr>
            <w:tcW w:w="1445" w:type="dxa"/>
            <w:vAlign w:val="center"/>
          </w:tcPr>
          <w:p w:rsidR="00AC7665" w:rsidRPr="00800E54" w:rsidRDefault="00AC7665" w:rsidP="00A51AEF">
            <w:pPr>
              <w:pStyle w:val="Tabletext"/>
            </w:pPr>
            <w:r w:rsidRPr="00800E54">
              <w:t>25</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Line 2* (6.5%)</w:t>
            </w:r>
          </w:p>
        </w:tc>
        <w:tc>
          <w:tcPr>
            <w:tcW w:w="1276" w:type="dxa"/>
            <w:vAlign w:val="center"/>
          </w:tcPr>
          <w:p w:rsidR="00AC7665" w:rsidRPr="00800E54" w:rsidRDefault="00AC7665" w:rsidP="00A51AEF">
            <w:pPr>
              <w:pStyle w:val="Tabletext"/>
            </w:pPr>
            <w:r w:rsidRPr="00800E54">
              <w:t>14</w:t>
            </w:r>
          </w:p>
        </w:tc>
        <w:tc>
          <w:tcPr>
            <w:tcW w:w="1360" w:type="dxa"/>
            <w:vAlign w:val="center"/>
          </w:tcPr>
          <w:p w:rsidR="00AC7665" w:rsidRPr="00800E54" w:rsidRDefault="00AC7665" w:rsidP="00A51AEF">
            <w:pPr>
              <w:pStyle w:val="Tabletext"/>
            </w:pPr>
            <w:r w:rsidRPr="00800E54">
              <w:t>10</w:t>
            </w:r>
          </w:p>
        </w:tc>
        <w:tc>
          <w:tcPr>
            <w:tcW w:w="1445" w:type="dxa"/>
            <w:vAlign w:val="center"/>
          </w:tcPr>
          <w:p w:rsidR="00AC7665" w:rsidRPr="00800E54" w:rsidRDefault="00AC7665" w:rsidP="00A51AEF">
            <w:pPr>
              <w:pStyle w:val="Tabletext"/>
            </w:pPr>
            <w:r w:rsidRPr="00800E54">
              <w:t>24</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The first arriving (86.4%)</w:t>
            </w:r>
          </w:p>
        </w:tc>
        <w:tc>
          <w:tcPr>
            <w:tcW w:w="1276" w:type="dxa"/>
            <w:vAlign w:val="center"/>
          </w:tcPr>
          <w:p w:rsidR="00AC7665" w:rsidRPr="00800E54" w:rsidRDefault="00AC7665" w:rsidP="00A51AEF">
            <w:pPr>
              <w:pStyle w:val="Tabletext"/>
            </w:pPr>
            <w:r w:rsidRPr="00800E54">
              <w:t>12.4</w:t>
            </w:r>
          </w:p>
        </w:tc>
        <w:tc>
          <w:tcPr>
            <w:tcW w:w="1360" w:type="dxa"/>
            <w:vAlign w:val="center"/>
          </w:tcPr>
          <w:p w:rsidR="00AC7665" w:rsidRPr="00800E54" w:rsidRDefault="00AC7665" w:rsidP="00A51AEF">
            <w:pPr>
              <w:pStyle w:val="Tabletext"/>
            </w:pPr>
            <w:r w:rsidRPr="00800E54">
              <w:t>6</w:t>
            </w:r>
          </w:p>
        </w:tc>
        <w:tc>
          <w:tcPr>
            <w:tcW w:w="1445" w:type="dxa"/>
            <w:vAlign w:val="center"/>
          </w:tcPr>
          <w:p w:rsidR="00AC7665" w:rsidRPr="00800E54" w:rsidRDefault="00AC7665" w:rsidP="00A51AEF">
            <w:pPr>
              <w:pStyle w:val="Tabletext"/>
            </w:pPr>
            <w:r w:rsidRPr="00800E54">
              <w:t>18.4</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val="restart"/>
            <w:tcBorders>
              <w:left w:val="nil"/>
            </w:tcBorders>
            <w:vAlign w:val="center"/>
          </w:tcPr>
          <w:p w:rsidR="00AC7665" w:rsidRPr="00800E54" w:rsidRDefault="00AC7665" w:rsidP="00A51AEF">
            <w:pPr>
              <w:pStyle w:val="Tabletext"/>
            </w:pPr>
            <w:r w:rsidRPr="00800E54">
              <w:t>Q31 – second section</w:t>
            </w:r>
          </w:p>
          <w:p w:rsidR="00AC7665" w:rsidRPr="00800E54" w:rsidRDefault="00AC7665" w:rsidP="00A51AEF">
            <w:pPr>
              <w:pStyle w:val="Tabletext"/>
            </w:pPr>
            <w:r w:rsidRPr="00800E54">
              <w:t>(Nchoice3)</w:t>
            </w:r>
          </w:p>
        </w:tc>
        <w:tc>
          <w:tcPr>
            <w:tcW w:w="1708" w:type="dxa"/>
            <w:vAlign w:val="center"/>
          </w:tcPr>
          <w:p w:rsidR="00AC7665" w:rsidRPr="00800E54" w:rsidRDefault="00AC7665" w:rsidP="00A51AEF">
            <w:pPr>
              <w:pStyle w:val="Tabletext"/>
            </w:pPr>
            <w:r w:rsidRPr="00800E54">
              <w:t>Line 3* (46.3%)</w:t>
            </w:r>
          </w:p>
        </w:tc>
        <w:tc>
          <w:tcPr>
            <w:tcW w:w="1276" w:type="dxa"/>
            <w:vAlign w:val="center"/>
          </w:tcPr>
          <w:p w:rsidR="00AC7665" w:rsidRPr="00800E54" w:rsidRDefault="00AC7665" w:rsidP="00A51AEF">
            <w:pPr>
              <w:pStyle w:val="Tabletext"/>
            </w:pPr>
            <w:r w:rsidRPr="00800E54">
              <w:t>10</w:t>
            </w:r>
          </w:p>
        </w:tc>
        <w:tc>
          <w:tcPr>
            <w:tcW w:w="1360" w:type="dxa"/>
            <w:vAlign w:val="center"/>
          </w:tcPr>
          <w:p w:rsidR="00AC7665" w:rsidRPr="00800E54" w:rsidRDefault="00AC7665" w:rsidP="00A51AEF">
            <w:pPr>
              <w:pStyle w:val="Tabletext"/>
            </w:pPr>
            <w:r w:rsidRPr="00800E54">
              <w:t>15</w:t>
            </w:r>
          </w:p>
        </w:tc>
        <w:tc>
          <w:tcPr>
            <w:tcW w:w="1445" w:type="dxa"/>
            <w:vAlign w:val="center"/>
          </w:tcPr>
          <w:p w:rsidR="00AC7665" w:rsidRPr="00800E54" w:rsidRDefault="00AC7665" w:rsidP="00A51AEF">
            <w:pPr>
              <w:pStyle w:val="Tabletext"/>
            </w:pPr>
            <w:r w:rsidRPr="00800E54">
              <w:t>25</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Line 4 (4.6%)</w:t>
            </w:r>
          </w:p>
        </w:tc>
        <w:tc>
          <w:tcPr>
            <w:tcW w:w="1276" w:type="dxa"/>
            <w:vAlign w:val="center"/>
          </w:tcPr>
          <w:p w:rsidR="00AC7665" w:rsidRPr="00800E54" w:rsidRDefault="00AC7665" w:rsidP="00A51AEF">
            <w:pPr>
              <w:pStyle w:val="Tabletext"/>
            </w:pPr>
            <w:r w:rsidRPr="00800E54">
              <w:t>20</w:t>
            </w:r>
          </w:p>
        </w:tc>
        <w:tc>
          <w:tcPr>
            <w:tcW w:w="1360" w:type="dxa"/>
            <w:vAlign w:val="center"/>
          </w:tcPr>
          <w:p w:rsidR="00AC7665" w:rsidRPr="00800E54" w:rsidRDefault="00AC7665" w:rsidP="00A51AEF">
            <w:pPr>
              <w:pStyle w:val="Tabletext"/>
            </w:pPr>
            <w:r w:rsidRPr="00800E54">
              <w:t>10</w:t>
            </w:r>
          </w:p>
        </w:tc>
        <w:tc>
          <w:tcPr>
            <w:tcW w:w="1445" w:type="dxa"/>
            <w:vAlign w:val="center"/>
          </w:tcPr>
          <w:p w:rsidR="00AC7665" w:rsidRPr="00800E54" w:rsidRDefault="00AC7665" w:rsidP="00A51AEF">
            <w:pPr>
              <w:pStyle w:val="Tabletext"/>
            </w:pPr>
            <w:r w:rsidRPr="00800E54">
              <w:t>30</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The first arriving (49.1%)</w:t>
            </w:r>
          </w:p>
        </w:tc>
        <w:tc>
          <w:tcPr>
            <w:tcW w:w="1276" w:type="dxa"/>
            <w:vAlign w:val="center"/>
          </w:tcPr>
          <w:p w:rsidR="00AC7665" w:rsidRPr="00800E54" w:rsidRDefault="00AC7665" w:rsidP="00A51AEF">
            <w:pPr>
              <w:pStyle w:val="Tabletext"/>
            </w:pPr>
            <w:r w:rsidRPr="00800E54">
              <w:t>16</w:t>
            </w:r>
          </w:p>
        </w:tc>
        <w:tc>
          <w:tcPr>
            <w:tcW w:w="1360" w:type="dxa"/>
            <w:vAlign w:val="center"/>
          </w:tcPr>
          <w:p w:rsidR="00AC7665" w:rsidRPr="00800E54" w:rsidRDefault="00AC7665" w:rsidP="00A51AEF">
            <w:pPr>
              <w:pStyle w:val="Tabletext"/>
            </w:pPr>
            <w:r w:rsidRPr="00800E54">
              <w:t>6</w:t>
            </w:r>
          </w:p>
        </w:tc>
        <w:tc>
          <w:tcPr>
            <w:tcW w:w="1445" w:type="dxa"/>
            <w:vAlign w:val="center"/>
          </w:tcPr>
          <w:p w:rsidR="00AC7665" w:rsidRPr="00800E54" w:rsidRDefault="00AC7665" w:rsidP="00A51AEF">
            <w:pPr>
              <w:pStyle w:val="Tabletext"/>
            </w:pPr>
            <w:r w:rsidRPr="00800E54">
              <w:t>22</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val="restart"/>
            <w:tcBorders>
              <w:left w:val="nil"/>
            </w:tcBorders>
            <w:vAlign w:val="center"/>
          </w:tcPr>
          <w:p w:rsidR="00AC7665" w:rsidRPr="00800E54" w:rsidRDefault="00AC7665" w:rsidP="00A51AEF">
            <w:pPr>
              <w:pStyle w:val="Tabletext"/>
            </w:pPr>
            <w:r w:rsidRPr="00800E54">
              <w:t>Q32</w:t>
            </w:r>
          </w:p>
          <w:p w:rsidR="00AC7665" w:rsidRPr="00800E54" w:rsidRDefault="00AC7665" w:rsidP="00A51AEF">
            <w:pPr>
              <w:pStyle w:val="Tabletext"/>
            </w:pPr>
            <w:r w:rsidRPr="00800E54">
              <w:t>(Nchoice4)</w:t>
            </w:r>
          </w:p>
        </w:tc>
        <w:tc>
          <w:tcPr>
            <w:tcW w:w="1708" w:type="dxa"/>
            <w:vAlign w:val="center"/>
          </w:tcPr>
          <w:p w:rsidR="00AC7665" w:rsidRPr="00800E54" w:rsidRDefault="00AC7665" w:rsidP="00A51AEF">
            <w:pPr>
              <w:pStyle w:val="Tabletext"/>
            </w:pPr>
            <w:r w:rsidRPr="00800E54">
              <w:t>Line 1 (10.7%)</w:t>
            </w:r>
          </w:p>
        </w:tc>
        <w:tc>
          <w:tcPr>
            <w:tcW w:w="1276" w:type="dxa"/>
            <w:vAlign w:val="center"/>
          </w:tcPr>
          <w:p w:rsidR="00AC7665" w:rsidRPr="00800E54" w:rsidRDefault="00AC7665" w:rsidP="00A51AEF">
            <w:pPr>
              <w:pStyle w:val="Tabletext"/>
            </w:pPr>
            <w:r w:rsidRPr="00800E54">
              <w:t>10</w:t>
            </w:r>
          </w:p>
        </w:tc>
        <w:tc>
          <w:tcPr>
            <w:tcW w:w="1360" w:type="dxa"/>
            <w:vAlign w:val="center"/>
          </w:tcPr>
          <w:p w:rsidR="00AC7665" w:rsidRPr="00800E54" w:rsidRDefault="00AC7665" w:rsidP="00A51AEF">
            <w:pPr>
              <w:pStyle w:val="Tabletext"/>
            </w:pPr>
            <w:r w:rsidRPr="00800E54">
              <w:t>20</w:t>
            </w:r>
          </w:p>
        </w:tc>
        <w:tc>
          <w:tcPr>
            <w:tcW w:w="1445" w:type="dxa"/>
            <w:vAlign w:val="center"/>
          </w:tcPr>
          <w:p w:rsidR="00AC7665" w:rsidRPr="00800E54" w:rsidRDefault="00AC7665" w:rsidP="00A51AEF">
            <w:pPr>
              <w:pStyle w:val="Tabletext"/>
            </w:pPr>
            <w:r w:rsidRPr="00800E54">
              <w:t>30</w:t>
            </w:r>
          </w:p>
        </w:tc>
        <w:tc>
          <w:tcPr>
            <w:tcW w:w="1554" w:type="dxa"/>
            <w:tcBorders>
              <w:right w:val="nil"/>
            </w:tcBorders>
            <w:vAlign w:val="center"/>
          </w:tcPr>
          <w:p w:rsidR="00AC7665" w:rsidRPr="00800E54" w:rsidRDefault="00AC7665" w:rsidP="00A51AEF">
            <w:pPr>
              <w:pStyle w:val="Tabletext"/>
            </w:pPr>
            <w:r w:rsidRPr="00800E54">
              <w:t>1</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Line 3* (53.3%)</w:t>
            </w:r>
          </w:p>
        </w:tc>
        <w:tc>
          <w:tcPr>
            <w:tcW w:w="1276" w:type="dxa"/>
            <w:vAlign w:val="center"/>
          </w:tcPr>
          <w:p w:rsidR="00AC7665" w:rsidRPr="00800E54" w:rsidRDefault="00AC7665" w:rsidP="00A51AEF">
            <w:pPr>
              <w:pStyle w:val="Tabletext"/>
            </w:pPr>
            <w:r w:rsidRPr="00800E54">
              <w:t>20</w:t>
            </w:r>
          </w:p>
        </w:tc>
        <w:tc>
          <w:tcPr>
            <w:tcW w:w="1360" w:type="dxa"/>
            <w:vAlign w:val="center"/>
          </w:tcPr>
          <w:p w:rsidR="00AC7665" w:rsidRPr="00800E54" w:rsidRDefault="00AC7665" w:rsidP="00A51AEF">
            <w:pPr>
              <w:pStyle w:val="Tabletext"/>
            </w:pPr>
            <w:r w:rsidRPr="00800E54">
              <w:t>6</w:t>
            </w:r>
          </w:p>
        </w:tc>
        <w:tc>
          <w:tcPr>
            <w:tcW w:w="1445" w:type="dxa"/>
            <w:vAlign w:val="center"/>
          </w:tcPr>
          <w:p w:rsidR="00AC7665" w:rsidRPr="00800E54" w:rsidRDefault="00AC7665" w:rsidP="00A51AEF">
            <w:pPr>
              <w:pStyle w:val="Tabletext"/>
            </w:pPr>
            <w:r w:rsidRPr="00800E54">
              <w:t>26</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The first arriving (35.9%)</w:t>
            </w:r>
          </w:p>
        </w:tc>
        <w:tc>
          <w:tcPr>
            <w:tcW w:w="1276" w:type="dxa"/>
            <w:vAlign w:val="center"/>
          </w:tcPr>
          <w:p w:rsidR="00AC7665" w:rsidRPr="00800E54" w:rsidRDefault="00AC7665" w:rsidP="00A51AEF">
            <w:pPr>
              <w:pStyle w:val="Tabletext"/>
            </w:pPr>
            <w:r w:rsidRPr="00800E54">
              <w:t>16.25</w:t>
            </w:r>
          </w:p>
        </w:tc>
        <w:tc>
          <w:tcPr>
            <w:tcW w:w="1360" w:type="dxa"/>
            <w:vAlign w:val="center"/>
          </w:tcPr>
          <w:p w:rsidR="00AC7665" w:rsidRPr="00800E54" w:rsidRDefault="00AC7665" w:rsidP="00A51AEF">
            <w:pPr>
              <w:pStyle w:val="Tabletext"/>
            </w:pPr>
            <w:r w:rsidRPr="00800E54">
              <w:t>7.5</w:t>
            </w:r>
          </w:p>
        </w:tc>
        <w:tc>
          <w:tcPr>
            <w:tcW w:w="1445" w:type="dxa"/>
            <w:vAlign w:val="center"/>
          </w:tcPr>
          <w:p w:rsidR="00AC7665" w:rsidRPr="00800E54" w:rsidRDefault="00AC7665" w:rsidP="00A51AEF">
            <w:pPr>
              <w:pStyle w:val="Tabletext"/>
            </w:pPr>
            <w:r w:rsidRPr="00800E54">
              <w:t>23.75</w:t>
            </w:r>
          </w:p>
        </w:tc>
        <w:tc>
          <w:tcPr>
            <w:tcW w:w="1554" w:type="dxa"/>
            <w:tcBorders>
              <w:right w:val="nil"/>
            </w:tcBorders>
            <w:vAlign w:val="center"/>
          </w:tcPr>
          <w:p w:rsidR="00AC7665" w:rsidRPr="00800E54" w:rsidRDefault="00AC7665" w:rsidP="00A51AEF">
            <w:pPr>
              <w:pStyle w:val="Tabletext"/>
            </w:pPr>
            <w:r w:rsidRPr="00800E54">
              <w:t>1</w:t>
            </w:r>
          </w:p>
        </w:tc>
      </w:tr>
      <w:tr w:rsidR="00AC7665" w:rsidRPr="00800E54" w:rsidTr="002B4B8E">
        <w:tc>
          <w:tcPr>
            <w:tcW w:w="1377" w:type="dxa"/>
            <w:vMerge w:val="restart"/>
            <w:tcBorders>
              <w:left w:val="nil"/>
            </w:tcBorders>
            <w:vAlign w:val="center"/>
          </w:tcPr>
          <w:p w:rsidR="00AC7665" w:rsidRPr="00800E54" w:rsidRDefault="00AC7665" w:rsidP="00A51AEF">
            <w:pPr>
              <w:pStyle w:val="Tabletext"/>
            </w:pPr>
            <w:r w:rsidRPr="00800E54">
              <w:t>Q33</w:t>
            </w:r>
          </w:p>
          <w:p w:rsidR="00AC7665" w:rsidRPr="00800E54" w:rsidRDefault="00AC7665" w:rsidP="00A51AEF">
            <w:pPr>
              <w:pStyle w:val="Tabletext"/>
            </w:pPr>
            <w:r w:rsidRPr="00800E54">
              <w:t>(Nchoice5)</w:t>
            </w:r>
          </w:p>
        </w:tc>
        <w:tc>
          <w:tcPr>
            <w:tcW w:w="1708" w:type="dxa"/>
            <w:vAlign w:val="center"/>
          </w:tcPr>
          <w:p w:rsidR="00AC7665" w:rsidRPr="00800E54" w:rsidRDefault="00AC7665" w:rsidP="00A51AEF">
            <w:pPr>
              <w:pStyle w:val="Tabletext"/>
            </w:pPr>
            <w:r w:rsidRPr="00800E54">
              <w:t>Line 1 (29.1%)</w:t>
            </w:r>
          </w:p>
        </w:tc>
        <w:tc>
          <w:tcPr>
            <w:tcW w:w="1276" w:type="dxa"/>
            <w:vAlign w:val="center"/>
          </w:tcPr>
          <w:p w:rsidR="00AC7665" w:rsidRPr="00800E54" w:rsidRDefault="00AC7665" w:rsidP="00A51AEF">
            <w:pPr>
              <w:pStyle w:val="Tabletext"/>
            </w:pPr>
            <w:r w:rsidRPr="00800E54">
              <w:t>12</w:t>
            </w:r>
          </w:p>
        </w:tc>
        <w:tc>
          <w:tcPr>
            <w:tcW w:w="1360" w:type="dxa"/>
            <w:vAlign w:val="center"/>
          </w:tcPr>
          <w:p w:rsidR="00AC7665" w:rsidRPr="00800E54" w:rsidRDefault="00AC7665" w:rsidP="00A51AEF">
            <w:pPr>
              <w:pStyle w:val="Tabletext"/>
            </w:pPr>
            <w:r w:rsidRPr="00800E54">
              <w:t>16</w:t>
            </w:r>
          </w:p>
        </w:tc>
        <w:tc>
          <w:tcPr>
            <w:tcW w:w="1445" w:type="dxa"/>
            <w:vAlign w:val="center"/>
          </w:tcPr>
          <w:p w:rsidR="00AC7665" w:rsidRPr="00800E54" w:rsidRDefault="00AC7665" w:rsidP="00A51AEF">
            <w:pPr>
              <w:pStyle w:val="Tabletext"/>
            </w:pPr>
            <w:r w:rsidRPr="00800E54">
              <w:t>28</w:t>
            </w:r>
          </w:p>
        </w:tc>
        <w:tc>
          <w:tcPr>
            <w:tcW w:w="1554" w:type="dxa"/>
            <w:tcBorders>
              <w:right w:val="nil"/>
            </w:tcBorders>
            <w:vAlign w:val="center"/>
          </w:tcPr>
          <w:p w:rsidR="00AC7665" w:rsidRPr="00800E54" w:rsidRDefault="00AC7665" w:rsidP="00A51AEF">
            <w:pPr>
              <w:pStyle w:val="Tabletext"/>
            </w:pPr>
            <w:r w:rsidRPr="00800E54">
              <w:t>0</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Line 3* (18.7%)</w:t>
            </w:r>
          </w:p>
        </w:tc>
        <w:tc>
          <w:tcPr>
            <w:tcW w:w="1276" w:type="dxa"/>
            <w:vAlign w:val="center"/>
          </w:tcPr>
          <w:p w:rsidR="00AC7665" w:rsidRPr="00800E54" w:rsidRDefault="00AC7665" w:rsidP="00A51AEF">
            <w:pPr>
              <w:pStyle w:val="Tabletext"/>
            </w:pPr>
            <w:r w:rsidRPr="00800E54">
              <w:t>16</w:t>
            </w:r>
          </w:p>
        </w:tc>
        <w:tc>
          <w:tcPr>
            <w:tcW w:w="1360" w:type="dxa"/>
            <w:vAlign w:val="center"/>
          </w:tcPr>
          <w:p w:rsidR="00AC7665" w:rsidRPr="00800E54" w:rsidRDefault="00AC7665" w:rsidP="00A51AEF">
            <w:pPr>
              <w:pStyle w:val="Tabletext"/>
            </w:pPr>
            <w:r w:rsidRPr="00800E54">
              <w:t>8</w:t>
            </w:r>
          </w:p>
        </w:tc>
        <w:tc>
          <w:tcPr>
            <w:tcW w:w="1445" w:type="dxa"/>
            <w:vAlign w:val="center"/>
          </w:tcPr>
          <w:p w:rsidR="00AC7665" w:rsidRPr="00800E54" w:rsidRDefault="00AC7665" w:rsidP="00A51AEF">
            <w:pPr>
              <w:pStyle w:val="Tabletext"/>
            </w:pPr>
            <w:r w:rsidRPr="00800E54">
              <w:t>24</w:t>
            </w:r>
          </w:p>
        </w:tc>
        <w:tc>
          <w:tcPr>
            <w:tcW w:w="1554" w:type="dxa"/>
            <w:tcBorders>
              <w:right w:val="nil"/>
            </w:tcBorders>
            <w:vAlign w:val="center"/>
          </w:tcPr>
          <w:p w:rsidR="00AC7665" w:rsidRPr="00800E54" w:rsidRDefault="00AC7665" w:rsidP="00A51AEF">
            <w:pPr>
              <w:pStyle w:val="Tabletext"/>
            </w:pPr>
            <w:r w:rsidRPr="00800E54">
              <w:t>1</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The first arriving (52.2%)</w:t>
            </w:r>
          </w:p>
        </w:tc>
        <w:tc>
          <w:tcPr>
            <w:tcW w:w="1276" w:type="dxa"/>
            <w:vAlign w:val="center"/>
          </w:tcPr>
          <w:p w:rsidR="00AC7665" w:rsidRPr="00800E54" w:rsidRDefault="00AC7665" w:rsidP="00A51AEF">
            <w:pPr>
              <w:pStyle w:val="Tabletext"/>
            </w:pPr>
            <w:r w:rsidRPr="00800E54">
              <w:t>15.2</w:t>
            </w:r>
          </w:p>
        </w:tc>
        <w:tc>
          <w:tcPr>
            <w:tcW w:w="1360" w:type="dxa"/>
            <w:vAlign w:val="center"/>
          </w:tcPr>
          <w:p w:rsidR="00AC7665" w:rsidRPr="00800E54" w:rsidRDefault="00AC7665" w:rsidP="00A51AEF">
            <w:pPr>
              <w:pStyle w:val="Tabletext"/>
            </w:pPr>
            <w:r w:rsidRPr="00800E54">
              <w:t>6.4</w:t>
            </w:r>
          </w:p>
        </w:tc>
        <w:tc>
          <w:tcPr>
            <w:tcW w:w="1445" w:type="dxa"/>
            <w:vAlign w:val="center"/>
          </w:tcPr>
          <w:p w:rsidR="00AC7665" w:rsidRPr="00800E54" w:rsidRDefault="00AC7665" w:rsidP="00A51AEF">
            <w:pPr>
              <w:pStyle w:val="Tabletext"/>
            </w:pPr>
            <w:r w:rsidRPr="00800E54">
              <w:t>21.6</w:t>
            </w:r>
          </w:p>
        </w:tc>
        <w:tc>
          <w:tcPr>
            <w:tcW w:w="1554" w:type="dxa"/>
            <w:tcBorders>
              <w:right w:val="nil"/>
            </w:tcBorders>
            <w:vAlign w:val="center"/>
          </w:tcPr>
          <w:p w:rsidR="00AC7665" w:rsidRPr="00800E54" w:rsidRDefault="00AC7665" w:rsidP="00A51AEF">
            <w:pPr>
              <w:pStyle w:val="Tabletext"/>
            </w:pPr>
            <w:r w:rsidRPr="00800E54">
              <w:t>1</w:t>
            </w:r>
          </w:p>
        </w:tc>
      </w:tr>
      <w:tr w:rsidR="00AC7665" w:rsidRPr="00800E54" w:rsidTr="002B4B8E">
        <w:tc>
          <w:tcPr>
            <w:tcW w:w="1377" w:type="dxa"/>
            <w:vMerge w:val="restart"/>
            <w:tcBorders>
              <w:left w:val="nil"/>
            </w:tcBorders>
            <w:vAlign w:val="center"/>
          </w:tcPr>
          <w:p w:rsidR="00AC7665" w:rsidRPr="00800E54" w:rsidRDefault="00AC7665" w:rsidP="00A51AEF">
            <w:pPr>
              <w:pStyle w:val="Tabletext"/>
            </w:pPr>
            <w:r w:rsidRPr="00800E54">
              <w:t>Q34</w:t>
            </w:r>
          </w:p>
          <w:p w:rsidR="00AC7665" w:rsidRPr="00800E54" w:rsidRDefault="00AC7665" w:rsidP="00A51AEF">
            <w:pPr>
              <w:pStyle w:val="Tabletext"/>
            </w:pPr>
            <w:r w:rsidRPr="00800E54">
              <w:t>(Nchoice6)</w:t>
            </w:r>
          </w:p>
        </w:tc>
        <w:tc>
          <w:tcPr>
            <w:tcW w:w="1708" w:type="dxa"/>
            <w:vAlign w:val="center"/>
          </w:tcPr>
          <w:p w:rsidR="00AC7665" w:rsidRPr="00800E54" w:rsidRDefault="00AC7665" w:rsidP="00A51AEF">
            <w:pPr>
              <w:pStyle w:val="Tabletext"/>
            </w:pPr>
            <w:r w:rsidRPr="00800E54">
              <w:t>Line 1 (5.7%)</w:t>
            </w:r>
          </w:p>
        </w:tc>
        <w:tc>
          <w:tcPr>
            <w:tcW w:w="1276" w:type="dxa"/>
            <w:vAlign w:val="center"/>
          </w:tcPr>
          <w:p w:rsidR="00AC7665" w:rsidRPr="00800E54" w:rsidRDefault="00AC7665" w:rsidP="00A51AEF">
            <w:pPr>
              <w:pStyle w:val="Tabletext"/>
            </w:pPr>
            <w:r w:rsidRPr="00800E54">
              <w:t>10</w:t>
            </w:r>
          </w:p>
        </w:tc>
        <w:tc>
          <w:tcPr>
            <w:tcW w:w="1360" w:type="dxa"/>
            <w:vAlign w:val="center"/>
          </w:tcPr>
          <w:p w:rsidR="00AC7665" w:rsidRPr="00800E54" w:rsidRDefault="00AC7665" w:rsidP="00A51AEF">
            <w:pPr>
              <w:pStyle w:val="Tabletext"/>
            </w:pPr>
            <w:r w:rsidRPr="00800E54">
              <w:t>30</w:t>
            </w:r>
          </w:p>
        </w:tc>
        <w:tc>
          <w:tcPr>
            <w:tcW w:w="1445" w:type="dxa"/>
            <w:vAlign w:val="center"/>
          </w:tcPr>
          <w:p w:rsidR="00AC7665" w:rsidRPr="00800E54" w:rsidRDefault="00AC7665" w:rsidP="00A51AEF">
            <w:pPr>
              <w:pStyle w:val="Tabletext"/>
            </w:pPr>
            <w:r w:rsidRPr="00800E54">
              <w:t>40</w:t>
            </w:r>
          </w:p>
        </w:tc>
        <w:tc>
          <w:tcPr>
            <w:tcW w:w="1554" w:type="dxa"/>
            <w:tcBorders>
              <w:right w:val="nil"/>
            </w:tcBorders>
            <w:vAlign w:val="center"/>
          </w:tcPr>
          <w:p w:rsidR="00AC7665" w:rsidRPr="00800E54" w:rsidRDefault="00AC7665" w:rsidP="00A51AEF">
            <w:pPr>
              <w:pStyle w:val="Tabletext"/>
            </w:pPr>
            <w:r w:rsidRPr="00800E54">
              <w:t>1</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Line 3* (30.8%)</w:t>
            </w:r>
          </w:p>
        </w:tc>
        <w:tc>
          <w:tcPr>
            <w:tcW w:w="1276" w:type="dxa"/>
            <w:vAlign w:val="center"/>
          </w:tcPr>
          <w:p w:rsidR="00AC7665" w:rsidRPr="00800E54" w:rsidRDefault="00AC7665" w:rsidP="00A51AEF">
            <w:pPr>
              <w:pStyle w:val="Tabletext"/>
            </w:pPr>
            <w:r w:rsidRPr="00800E54">
              <w:t>15</w:t>
            </w:r>
          </w:p>
        </w:tc>
        <w:tc>
          <w:tcPr>
            <w:tcW w:w="1360" w:type="dxa"/>
            <w:vAlign w:val="center"/>
          </w:tcPr>
          <w:p w:rsidR="00AC7665" w:rsidRPr="00800E54" w:rsidRDefault="00AC7665" w:rsidP="00A51AEF">
            <w:pPr>
              <w:pStyle w:val="Tabletext"/>
            </w:pPr>
            <w:r w:rsidRPr="00800E54">
              <w:t>20</w:t>
            </w:r>
          </w:p>
        </w:tc>
        <w:tc>
          <w:tcPr>
            <w:tcW w:w="1445" w:type="dxa"/>
            <w:vAlign w:val="center"/>
          </w:tcPr>
          <w:p w:rsidR="00AC7665" w:rsidRPr="00800E54" w:rsidRDefault="00AC7665" w:rsidP="00A51AEF">
            <w:pPr>
              <w:pStyle w:val="Tabletext"/>
            </w:pPr>
            <w:r w:rsidRPr="00800E54">
              <w:t>35</w:t>
            </w:r>
          </w:p>
        </w:tc>
        <w:tc>
          <w:tcPr>
            <w:tcW w:w="1554" w:type="dxa"/>
            <w:tcBorders>
              <w:right w:val="nil"/>
            </w:tcBorders>
            <w:vAlign w:val="center"/>
          </w:tcPr>
          <w:p w:rsidR="00AC7665" w:rsidRPr="00800E54" w:rsidRDefault="00AC7665" w:rsidP="00A51AEF">
            <w:pPr>
              <w:pStyle w:val="Tabletext"/>
            </w:pPr>
            <w:r w:rsidRPr="00800E54">
              <w:t>1</w:t>
            </w:r>
          </w:p>
        </w:tc>
      </w:tr>
      <w:tr w:rsidR="00AC7665" w:rsidRPr="00800E54" w:rsidTr="002B4B8E">
        <w:tc>
          <w:tcPr>
            <w:tcW w:w="1377" w:type="dxa"/>
            <w:vMerge/>
            <w:tcBorders>
              <w:left w:val="nil"/>
            </w:tcBorders>
            <w:vAlign w:val="center"/>
          </w:tcPr>
          <w:p w:rsidR="00AC7665" w:rsidRPr="00800E54" w:rsidRDefault="00AC7665" w:rsidP="00A51AEF">
            <w:pPr>
              <w:pStyle w:val="Tabletext"/>
            </w:pPr>
          </w:p>
        </w:tc>
        <w:tc>
          <w:tcPr>
            <w:tcW w:w="1708" w:type="dxa"/>
            <w:vAlign w:val="center"/>
          </w:tcPr>
          <w:p w:rsidR="00AC7665" w:rsidRPr="00800E54" w:rsidRDefault="00AC7665" w:rsidP="00A51AEF">
            <w:pPr>
              <w:pStyle w:val="Tabletext"/>
            </w:pPr>
            <w:r w:rsidRPr="00800E54">
              <w:t>The first arriving (63.5%)</w:t>
            </w:r>
          </w:p>
        </w:tc>
        <w:tc>
          <w:tcPr>
            <w:tcW w:w="1276" w:type="dxa"/>
            <w:vAlign w:val="center"/>
          </w:tcPr>
          <w:p w:rsidR="00AC7665" w:rsidRPr="00800E54" w:rsidRDefault="00AC7665" w:rsidP="00A51AEF">
            <w:pPr>
              <w:pStyle w:val="Tabletext"/>
            </w:pPr>
            <w:r w:rsidRPr="00800E54">
              <w:t>13</w:t>
            </w:r>
          </w:p>
        </w:tc>
        <w:tc>
          <w:tcPr>
            <w:tcW w:w="1360" w:type="dxa"/>
            <w:vAlign w:val="center"/>
          </w:tcPr>
          <w:p w:rsidR="00AC7665" w:rsidRPr="00800E54" w:rsidRDefault="00AC7665" w:rsidP="00A51AEF">
            <w:pPr>
              <w:pStyle w:val="Tabletext"/>
            </w:pPr>
            <w:r w:rsidRPr="00800E54">
              <w:t>18</w:t>
            </w:r>
          </w:p>
        </w:tc>
        <w:tc>
          <w:tcPr>
            <w:tcW w:w="1445" w:type="dxa"/>
            <w:vAlign w:val="center"/>
          </w:tcPr>
          <w:p w:rsidR="00AC7665" w:rsidRPr="00800E54" w:rsidRDefault="00AC7665" w:rsidP="00A51AEF">
            <w:pPr>
              <w:pStyle w:val="Tabletext"/>
            </w:pPr>
            <w:r w:rsidRPr="00800E54">
              <w:t>31</w:t>
            </w:r>
          </w:p>
        </w:tc>
        <w:tc>
          <w:tcPr>
            <w:tcW w:w="1554" w:type="dxa"/>
            <w:tcBorders>
              <w:right w:val="nil"/>
            </w:tcBorders>
            <w:vAlign w:val="center"/>
          </w:tcPr>
          <w:p w:rsidR="00AC7665" w:rsidRPr="00800E54" w:rsidRDefault="00AC7665" w:rsidP="00A51AEF">
            <w:pPr>
              <w:pStyle w:val="Tabletext"/>
            </w:pPr>
            <w:r w:rsidRPr="00800E54">
              <w:t>1</w:t>
            </w:r>
          </w:p>
        </w:tc>
      </w:tr>
    </w:tbl>
    <w:p w:rsidR="00AC7665" w:rsidRPr="00800E54" w:rsidRDefault="00AC7665" w:rsidP="00AC7665">
      <w:pPr>
        <w:rPr>
          <w:rFonts w:ascii="Times New Roman" w:hAnsi="Times New Roman"/>
          <w:lang w:val="en-GB"/>
        </w:rPr>
      </w:pPr>
      <w:r w:rsidRPr="00800E54">
        <w:rPr>
          <w:rFonts w:ascii="Times New Roman" w:hAnsi="Times New Roman"/>
          <w:lang w:val="en-GB"/>
        </w:rPr>
        <w:t>* Shortest single path</w:t>
      </w:r>
    </w:p>
    <w:p w:rsidR="00AC7665" w:rsidRPr="00800E54" w:rsidRDefault="00AC7665" w:rsidP="00AC7665">
      <w:pPr>
        <w:widowControl/>
        <w:ind w:firstLineChars="250" w:firstLine="600"/>
        <w:rPr>
          <w:rFonts w:ascii="Times New Roman" w:eastAsia="MS PGothic" w:hAnsi="Times New Roman"/>
          <w:kern w:val="0"/>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p>
    <w:p w:rsidR="00D13CC4" w:rsidRPr="00800E54" w:rsidRDefault="00AC7665" w:rsidP="00D13CC4">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In this case the 6 cluster model has been chosen shown in Figure 3</w:t>
      </w:r>
      <w:r w:rsidR="00CB3E61" w:rsidRPr="00800E54">
        <w:rPr>
          <w:rFonts w:ascii="Times New Roman" w:eastAsia="MS PGothic" w:hAnsi="Times New Roman"/>
          <w:kern w:val="0"/>
          <w:sz w:val="24"/>
          <w:lang w:val="en-GB"/>
        </w:rPr>
        <w:t xml:space="preserve"> (again details are given in the Appendix)</w:t>
      </w:r>
      <w:r w:rsidRPr="00800E54">
        <w:rPr>
          <w:rFonts w:ascii="Times New Roman" w:eastAsia="MS PGothic" w:hAnsi="Times New Roman"/>
          <w:kern w:val="0"/>
          <w:sz w:val="24"/>
          <w:lang w:val="en-GB"/>
        </w:rPr>
        <w:t>. The analysis is based on 523 cases. Profiles of the 6 clusters are also reported in Figure 3, in the row “Description”.</w:t>
      </w:r>
      <w:r w:rsidR="00D13CC4" w:rsidRPr="00800E54">
        <w:rPr>
          <w:rFonts w:ascii="Times New Roman" w:eastAsia="MS PGothic" w:hAnsi="Times New Roman"/>
          <w:kern w:val="0"/>
          <w:sz w:val="24"/>
          <w:lang w:val="en-GB"/>
        </w:rPr>
        <w:t xml:space="preserve"> Interestingly only 15.3% of respondents choose always the hyperpath alternative, to which the Spiess and Florian’s model would assign the whole demand.</w:t>
      </w:r>
    </w:p>
    <w:p w:rsidR="00AC7665" w:rsidRPr="00800E54" w:rsidRDefault="00AC7665" w:rsidP="00AC7665">
      <w:pPr>
        <w:widowControl/>
        <w:ind w:firstLineChars="250" w:firstLine="600"/>
        <w:rPr>
          <w:rFonts w:ascii="Times New Roman" w:eastAsia="MS PGothic" w:hAnsi="Times New Roman"/>
          <w:kern w:val="0"/>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p>
    <w:p w:rsidR="00F92B1A" w:rsidRPr="00800E54" w:rsidRDefault="00F92B1A" w:rsidP="00F92B1A">
      <w:pPr>
        <w:widowControl/>
        <w:autoSpaceDE w:val="0"/>
        <w:autoSpaceDN w:val="0"/>
        <w:adjustRightInd w:val="0"/>
        <w:jc w:val="left"/>
        <w:rPr>
          <w:rFonts w:ascii="Times New Roman" w:hAnsi="Times New Roman"/>
          <w:kern w:val="0"/>
          <w:sz w:val="24"/>
          <w:lang w:val="en-GB"/>
        </w:rPr>
      </w:pPr>
      <w:r w:rsidRPr="00800E54">
        <w:rPr>
          <w:noProof/>
          <w:lang w:val="en-GB" w:eastAsia="en-GB"/>
        </w:rPr>
        <w:lastRenderedPageBreak/>
        <w:drawing>
          <wp:inline distT="0" distB="0" distL="0" distR="0" wp14:anchorId="752FE4C7" wp14:editId="49689603">
            <wp:extent cx="5760000" cy="4798491"/>
            <wp:effectExtent l="1905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l="2964" t="8703" r="5690" b="6682"/>
                    <a:stretch>
                      <a:fillRect/>
                    </a:stretch>
                  </pic:blipFill>
                  <pic:spPr bwMode="auto">
                    <a:xfrm>
                      <a:off x="0" y="0"/>
                      <a:ext cx="5760000" cy="4798491"/>
                    </a:xfrm>
                    <a:prstGeom prst="rect">
                      <a:avLst/>
                    </a:prstGeom>
                    <a:noFill/>
                    <a:ln w="9525">
                      <a:noFill/>
                      <a:miter lim="800000"/>
                      <a:headEnd/>
                      <a:tailEnd/>
                    </a:ln>
                  </pic:spPr>
                </pic:pic>
              </a:graphicData>
            </a:graphic>
          </wp:inline>
        </w:drawing>
      </w:r>
    </w:p>
    <w:p w:rsidR="00F92B1A" w:rsidRPr="00800E54" w:rsidRDefault="00F92B1A" w:rsidP="00F92B1A">
      <w:pPr>
        <w:widowControl/>
        <w:autoSpaceDE w:val="0"/>
        <w:autoSpaceDN w:val="0"/>
        <w:adjustRightInd w:val="0"/>
        <w:jc w:val="left"/>
        <w:rPr>
          <w:rFonts w:ascii="Times New Roman" w:hAnsi="Times New Roman"/>
          <w:kern w:val="0"/>
          <w:sz w:val="24"/>
          <w:lang w:val="en-GB"/>
        </w:rPr>
      </w:pPr>
    </w:p>
    <w:p w:rsidR="00AC7665" w:rsidRPr="00800E54" w:rsidRDefault="00AC7665" w:rsidP="00AB11D6">
      <w:pPr>
        <w:widowControl/>
        <w:jc w:val="center"/>
        <w:rPr>
          <w:rFonts w:ascii="Times New Roman" w:hAnsi="Times New Roman"/>
          <w:sz w:val="24"/>
          <w:lang w:val="en-GB"/>
        </w:rPr>
      </w:pPr>
      <w:r w:rsidRPr="00800E54">
        <w:rPr>
          <w:rFonts w:ascii="Times New Roman" w:hAnsi="Times New Roman"/>
          <w:sz w:val="24"/>
          <w:lang w:val="en-GB"/>
        </w:rPr>
        <w:t>Figure 3. 6 cluster model of strategy choice</w:t>
      </w:r>
      <w:r w:rsidR="00B96C0F" w:rsidRPr="00800E54">
        <w:rPr>
          <w:rFonts w:ascii="Times New Roman" w:hAnsi="Times New Roman"/>
          <w:sz w:val="24"/>
          <w:lang w:val="en-GB"/>
        </w:rPr>
        <w:t xml:space="preserve"> (SPSS 18)</w:t>
      </w:r>
    </w:p>
    <w:p w:rsidR="00AC7665" w:rsidRPr="00800E54" w:rsidRDefault="00AC7665" w:rsidP="00AC7665">
      <w:pPr>
        <w:widowControl/>
        <w:ind w:firstLineChars="250" w:firstLine="600"/>
        <w:rPr>
          <w:rFonts w:ascii="Times New Roman" w:eastAsia="MS PGothic" w:hAnsi="Times New Roman"/>
          <w:kern w:val="0"/>
          <w:sz w:val="24"/>
          <w:lang w:val="en-GB"/>
        </w:rPr>
      </w:pPr>
    </w:p>
    <w:p w:rsidR="00AC7665" w:rsidRPr="00800E54" w:rsidRDefault="00D13CC4" w:rsidP="00C63A9D">
      <w:pPr>
        <w:widowControl/>
        <w:ind w:firstLine="840"/>
        <w:rPr>
          <w:rFonts w:ascii="Times New Roman" w:eastAsia="MS PGothic" w:hAnsi="Times New Roman"/>
          <w:kern w:val="0"/>
          <w:sz w:val="24"/>
          <w:lang w:val="en-GB"/>
        </w:rPr>
      </w:pPr>
      <w:r w:rsidRPr="00800E54">
        <w:rPr>
          <w:rFonts w:ascii="Times New Roman" w:eastAsia="MS PGothic" w:hAnsi="Times New Roman"/>
          <w:kern w:val="0"/>
          <w:sz w:val="24"/>
          <w:lang w:val="en-GB"/>
        </w:rPr>
        <w:t xml:space="preserve">Figure 4 compares the strategy choices of </w:t>
      </w:r>
      <w:r w:rsidR="00287199" w:rsidRPr="00800E54">
        <w:rPr>
          <w:rFonts w:ascii="Times New Roman" w:eastAsia="MS PGothic" w:hAnsi="Times New Roman"/>
          <w:kern w:val="0"/>
          <w:sz w:val="24"/>
          <w:lang w:val="en-GB"/>
        </w:rPr>
        <w:t xml:space="preserve">China and Japan, which are </w:t>
      </w:r>
      <w:r w:rsidRPr="00800E54">
        <w:rPr>
          <w:rFonts w:ascii="Times New Roman" w:eastAsia="MS PGothic" w:hAnsi="Times New Roman"/>
          <w:kern w:val="0"/>
          <w:sz w:val="24"/>
          <w:lang w:val="en-GB"/>
        </w:rPr>
        <w:t xml:space="preserve">the two most represented Asian </w:t>
      </w:r>
      <w:r w:rsidR="00287199" w:rsidRPr="00800E54">
        <w:rPr>
          <w:rFonts w:ascii="Times New Roman" w:eastAsia="MS PGothic" w:hAnsi="Times New Roman"/>
          <w:kern w:val="0"/>
          <w:sz w:val="24"/>
          <w:lang w:val="en-GB"/>
        </w:rPr>
        <w:t xml:space="preserve">countries with 44 and 67 respondents respectively, </w:t>
      </w:r>
      <w:r w:rsidRPr="00800E54">
        <w:rPr>
          <w:rFonts w:ascii="Times New Roman" w:eastAsia="MS PGothic" w:hAnsi="Times New Roman"/>
          <w:kern w:val="0"/>
          <w:sz w:val="24"/>
          <w:lang w:val="en-GB"/>
        </w:rPr>
        <w:t xml:space="preserve">with those of the other countries. </w:t>
      </w:r>
      <w:r w:rsidR="003536B8" w:rsidRPr="00800E54">
        <w:rPr>
          <w:rFonts w:ascii="Times New Roman" w:eastAsia="MS PGothic" w:hAnsi="Times New Roman"/>
          <w:kern w:val="0"/>
          <w:sz w:val="24"/>
          <w:lang w:val="en-GB"/>
        </w:rPr>
        <w:t>The difference</w:t>
      </w:r>
      <w:r w:rsidR="000B3EC4" w:rsidRPr="00800E54">
        <w:rPr>
          <w:rFonts w:ascii="Times New Roman" w:eastAsia="MS PGothic" w:hAnsi="Times New Roman"/>
          <w:kern w:val="0"/>
          <w:sz w:val="24"/>
          <w:lang w:val="en-GB"/>
        </w:rPr>
        <w:t>s</w:t>
      </w:r>
      <w:r w:rsidR="003536B8" w:rsidRPr="00800E54">
        <w:rPr>
          <w:rFonts w:ascii="Times New Roman" w:eastAsia="MS PGothic" w:hAnsi="Times New Roman"/>
          <w:kern w:val="0"/>
          <w:sz w:val="24"/>
          <w:lang w:val="en-GB"/>
        </w:rPr>
        <w:t xml:space="preserve"> between each Asian country and the other countries </w:t>
      </w:r>
      <w:r w:rsidR="000B3EC4" w:rsidRPr="00800E54">
        <w:rPr>
          <w:rFonts w:ascii="Times New Roman" w:eastAsia="MS PGothic" w:hAnsi="Times New Roman"/>
          <w:kern w:val="0"/>
          <w:sz w:val="24"/>
          <w:lang w:val="en-GB"/>
        </w:rPr>
        <w:t>are</w:t>
      </w:r>
      <w:r w:rsidR="003536B8" w:rsidRPr="00800E54">
        <w:rPr>
          <w:rFonts w:ascii="Times New Roman" w:eastAsia="MS PGothic" w:hAnsi="Times New Roman"/>
          <w:kern w:val="0"/>
          <w:sz w:val="24"/>
          <w:lang w:val="en-GB"/>
        </w:rPr>
        <w:t xml:space="preserve"> not </w:t>
      </w:r>
      <w:r w:rsidR="00287199" w:rsidRPr="00800E54">
        <w:rPr>
          <w:rFonts w:ascii="Times New Roman" w:eastAsia="MS PGothic" w:hAnsi="Times New Roman"/>
          <w:kern w:val="0"/>
          <w:sz w:val="24"/>
          <w:lang w:val="en-GB"/>
        </w:rPr>
        <w:t xml:space="preserve">statistically </w:t>
      </w:r>
      <w:r w:rsidR="003536B8" w:rsidRPr="00800E54">
        <w:rPr>
          <w:rFonts w:ascii="Times New Roman" w:eastAsia="MS PGothic" w:hAnsi="Times New Roman"/>
          <w:kern w:val="0"/>
          <w:sz w:val="24"/>
          <w:lang w:val="en-GB"/>
        </w:rPr>
        <w:t>significant</w:t>
      </w:r>
      <w:r w:rsidR="00287199" w:rsidRPr="00800E54">
        <w:rPr>
          <w:rFonts w:ascii="Times New Roman" w:eastAsia="MS PGothic" w:hAnsi="Times New Roman"/>
          <w:kern w:val="0"/>
          <w:sz w:val="24"/>
          <w:lang w:val="en-GB"/>
        </w:rPr>
        <w:t>,</w:t>
      </w:r>
      <w:r w:rsidR="003536B8" w:rsidRPr="00800E54">
        <w:rPr>
          <w:rFonts w:ascii="Times New Roman" w:eastAsia="MS PGothic" w:hAnsi="Times New Roman"/>
          <w:kern w:val="0"/>
          <w:sz w:val="24"/>
          <w:lang w:val="en-GB"/>
        </w:rPr>
        <w:t xml:space="preserve"> </w:t>
      </w:r>
      <w:r w:rsidR="00287199" w:rsidRPr="00800E54">
        <w:rPr>
          <w:rFonts w:ascii="Times New Roman" w:eastAsia="MS PGothic" w:hAnsi="Times New Roman"/>
          <w:kern w:val="0"/>
          <w:sz w:val="24"/>
          <w:lang w:val="en-GB"/>
        </w:rPr>
        <w:t>possibly</w:t>
      </w:r>
      <w:r w:rsidR="003536B8" w:rsidRPr="00800E54">
        <w:rPr>
          <w:rFonts w:ascii="Times New Roman" w:eastAsia="MS PGothic" w:hAnsi="Times New Roman"/>
          <w:kern w:val="0"/>
          <w:sz w:val="24"/>
          <w:lang w:val="en-GB"/>
        </w:rPr>
        <w:t xml:space="preserve"> due to the limited size of the related samples. Nevertheless it can be observed that the “hyperpath resolute</w:t>
      </w:r>
      <w:r w:rsidR="000D76D4" w:rsidRPr="00800E54">
        <w:rPr>
          <w:rFonts w:ascii="Times New Roman" w:eastAsia="MS PGothic" w:hAnsi="Times New Roman"/>
          <w:kern w:val="0"/>
          <w:sz w:val="24"/>
          <w:lang w:val="en-GB"/>
        </w:rPr>
        <w:t>” (</w:t>
      </w:r>
      <w:r w:rsidR="003536B8" w:rsidRPr="00800E54">
        <w:rPr>
          <w:rFonts w:ascii="Times New Roman" w:eastAsia="MS PGothic" w:hAnsi="Times New Roman"/>
          <w:kern w:val="0"/>
          <w:sz w:val="24"/>
          <w:lang w:val="en-GB"/>
        </w:rPr>
        <w:t xml:space="preserve">cluster 1) are less frequent </w:t>
      </w:r>
      <w:r w:rsidR="00716C83" w:rsidRPr="00800E54">
        <w:rPr>
          <w:rFonts w:ascii="Times New Roman" w:eastAsia="MS PGothic" w:hAnsi="Times New Roman"/>
          <w:kern w:val="0"/>
          <w:sz w:val="24"/>
          <w:lang w:val="en-GB"/>
        </w:rPr>
        <w:t xml:space="preserve">in the Asian countries than in </w:t>
      </w:r>
      <w:r w:rsidR="000D76D4" w:rsidRPr="00800E54">
        <w:rPr>
          <w:rFonts w:ascii="Times New Roman" w:eastAsia="MS PGothic" w:hAnsi="Times New Roman"/>
          <w:kern w:val="0"/>
          <w:sz w:val="24"/>
          <w:lang w:val="en-GB"/>
        </w:rPr>
        <w:t xml:space="preserve">the </w:t>
      </w:r>
      <w:r w:rsidR="00716C83" w:rsidRPr="00800E54">
        <w:rPr>
          <w:rFonts w:ascii="Times New Roman" w:eastAsia="MS PGothic" w:hAnsi="Times New Roman"/>
          <w:kern w:val="0"/>
          <w:sz w:val="24"/>
          <w:lang w:val="en-GB"/>
        </w:rPr>
        <w:t>other countries. T</w:t>
      </w:r>
      <w:r w:rsidR="003536B8" w:rsidRPr="00800E54">
        <w:rPr>
          <w:rFonts w:ascii="Times New Roman" w:eastAsia="MS PGothic" w:hAnsi="Times New Roman"/>
          <w:kern w:val="0"/>
          <w:sz w:val="24"/>
          <w:lang w:val="en-GB"/>
        </w:rPr>
        <w:t xml:space="preserve">he choice of the single shortest path (cluster 3) among the Chinese respondents is </w:t>
      </w:r>
      <w:r w:rsidR="00716C83" w:rsidRPr="00800E54">
        <w:rPr>
          <w:rFonts w:ascii="Times New Roman" w:eastAsia="MS PGothic" w:hAnsi="Times New Roman"/>
          <w:kern w:val="0"/>
          <w:sz w:val="24"/>
          <w:lang w:val="en-GB"/>
        </w:rPr>
        <w:t xml:space="preserve">definitely </w:t>
      </w:r>
      <w:r w:rsidR="003536B8" w:rsidRPr="00800E54">
        <w:rPr>
          <w:rFonts w:ascii="Times New Roman" w:eastAsia="MS PGothic" w:hAnsi="Times New Roman"/>
          <w:kern w:val="0"/>
          <w:sz w:val="24"/>
          <w:lang w:val="en-GB"/>
        </w:rPr>
        <w:t>more frequent than for other respondents</w:t>
      </w:r>
      <w:r w:rsidR="004230C1" w:rsidRPr="00800E54">
        <w:rPr>
          <w:rFonts w:ascii="Times New Roman" w:eastAsia="MS PGothic" w:hAnsi="Times New Roman"/>
          <w:kern w:val="0"/>
          <w:sz w:val="24"/>
          <w:lang w:val="en-GB"/>
        </w:rPr>
        <w:t>.</w:t>
      </w:r>
      <w:r w:rsidR="00716C83" w:rsidRPr="00800E54">
        <w:rPr>
          <w:rFonts w:ascii="Times New Roman" w:eastAsia="MS PGothic" w:hAnsi="Times New Roman"/>
          <w:kern w:val="0"/>
          <w:sz w:val="24"/>
          <w:lang w:val="en-GB"/>
        </w:rPr>
        <w:t xml:space="preserve"> T</w:t>
      </w:r>
      <w:r w:rsidR="004230C1" w:rsidRPr="00800E54">
        <w:rPr>
          <w:rFonts w:ascii="Times New Roman" w:eastAsia="MS PGothic" w:hAnsi="Times New Roman"/>
          <w:kern w:val="0"/>
          <w:sz w:val="24"/>
          <w:lang w:val="en-GB"/>
        </w:rPr>
        <w:t xml:space="preserve">his result may shed </w:t>
      </w:r>
      <w:r w:rsidR="00716C83" w:rsidRPr="00800E54">
        <w:rPr>
          <w:rFonts w:ascii="Times New Roman" w:eastAsia="MS PGothic" w:hAnsi="Times New Roman"/>
          <w:kern w:val="0"/>
          <w:sz w:val="24"/>
          <w:lang w:val="en-GB"/>
        </w:rPr>
        <w:t xml:space="preserve">new light on the finding Kurauchi et al (2012a) </w:t>
      </w:r>
      <w:r w:rsidR="004230C1" w:rsidRPr="00800E54">
        <w:rPr>
          <w:rFonts w:ascii="Times New Roman" w:eastAsia="MS PGothic" w:hAnsi="Times New Roman"/>
          <w:kern w:val="0"/>
          <w:sz w:val="24"/>
          <w:lang w:val="en-GB"/>
        </w:rPr>
        <w:t>about</w:t>
      </w:r>
      <w:r w:rsidR="00716C83" w:rsidRPr="00800E54">
        <w:rPr>
          <w:rFonts w:ascii="Times New Roman" w:eastAsia="MS PGothic" w:hAnsi="Times New Roman"/>
          <w:kern w:val="0"/>
          <w:sz w:val="24"/>
          <w:lang w:val="en-GB"/>
        </w:rPr>
        <w:t xml:space="preserve"> the high disutility of transfers </w:t>
      </w:r>
      <w:r w:rsidR="004230C1" w:rsidRPr="00800E54">
        <w:rPr>
          <w:rFonts w:ascii="Times New Roman" w:eastAsia="MS PGothic" w:hAnsi="Times New Roman"/>
          <w:kern w:val="0"/>
          <w:sz w:val="24"/>
          <w:lang w:val="en-GB"/>
        </w:rPr>
        <w:t>for</w:t>
      </w:r>
      <w:r w:rsidR="00716C83" w:rsidRPr="00800E54">
        <w:rPr>
          <w:rFonts w:ascii="Times New Roman" w:eastAsia="MS PGothic" w:hAnsi="Times New Roman"/>
          <w:kern w:val="0"/>
          <w:sz w:val="24"/>
          <w:lang w:val="en-GB"/>
        </w:rPr>
        <w:t xml:space="preserve"> Chinese PT users</w:t>
      </w:r>
      <w:r w:rsidR="004230C1" w:rsidRPr="00800E54">
        <w:rPr>
          <w:rFonts w:ascii="Times New Roman" w:eastAsia="MS PGothic" w:hAnsi="Times New Roman"/>
          <w:kern w:val="0"/>
          <w:sz w:val="24"/>
          <w:lang w:val="en-GB"/>
        </w:rPr>
        <w:t xml:space="preserve">: In fact in the case of the SP experiments </w:t>
      </w:r>
      <w:r w:rsidR="00716C83" w:rsidRPr="00800E54">
        <w:rPr>
          <w:rFonts w:ascii="Times New Roman" w:eastAsia="MS PGothic" w:hAnsi="Times New Roman"/>
          <w:kern w:val="0"/>
          <w:sz w:val="24"/>
          <w:lang w:val="en-GB"/>
        </w:rPr>
        <w:t>the quality</w:t>
      </w:r>
      <w:r w:rsidR="004230C1" w:rsidRPr="00800E54">
        <w:rPr>
          <w:rFonts w:ascii="Times New Roman" w:eastAsia="MS PGothic" w:hAnsi="Times New Roman"/>
          <w:kern w:val="0"/>
          <w:sz w:val="24"/>
          <w:lang w:val="en-GB"/>
        </w:rPr>
        <w:t xml:space="preserve"> of the infrastructure cannot be invoked as explanation of the scarce attitude to change, which instead may point to a more cultural difference of behavio</w:t>
      </w:r>
      <w:r w:rsidR="00C63A9D">
        <w:rPr>
          <w:rFonts w:ascii="Times New Roman" w:eastAsia="MS PGothic" w:hAnsi="Times New Roman" w:hint="eastAsia"/>
          <w:kern w:val="0"/>
          <w:sz w:val="24"/>
          <w:lang w:val="en-GB"/>
        </w:rPr>
        <w:t>u</w:t>
      </w:r>
      <w:r w:rsidR="004230C1" w:rsidRPr="00800E54">
        <w:rPr>
          <w:rFonts w:ascii="Times New Roman" w:eastAsia="MS PGothic" w:hAnsi="Times New Roman"/>
          <w:kern w:val="0"/>
          <w:sz w:val="24"/>
          <w:lang w:val="en-GB"/>
        </w:rPr>
        <w:t>r. It has to be noted that a different attitude may be triggered or reinforced by the daily experience.</w:t>
      </w:r>
    </w:p>
    <w:p w:rsidR="0012313A" w:rsidRPr="00800E54" w:rsidRDefault="0012313A" w:rsidP="0012313A">
      <w:pPr>
        <w:widowControl/>
        <w:autoSpaceDE w:val="0"/>
        <w:autoSpaceDN w:val="0"/>
        <w:adjustRightInd w:val="0"/>
        <w:jc w:val="center"/>
        <w:rPr>
          <w:rFonts w:ascii="Times New Roman" w:hAnsi="Times New Roman"/>
          <w:kern w:val="0"/>
          <w:sz w:val="24"/>
          <w:lang w:val="en-GB"/>
        </w:rPr>
      </w:pPr>
      <w:r w:rsidRPr="00800E54">
        <w:rPr>
          <w:rFonts w:ascii="Times New Roman" w:hAnsi="Times New Roman"/>
          <w:noProof/>
          <w:kern w:val="0"/>
          <w:sz w:val="24"/>
          <w:lang w:val="en-GB" w:eastAsia="en-GB"/>
        </w:rPr>
        <w:lastRenderedPageBreak/>
        <w:drawing>
          <wp:inline distT="0" distB="0" distL="0" distR="0" wp14:anchorId="4A9CDA2C" wp14:editId="7E6AB5CD">
            <wp:extent cx="5040000" cy="40381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000" cy="4038146"/>
                    </a:xfrm>
                    <a:prstGeom prst="rect">
                      <a:avLst/>
                    </a:prstGeom>
                    <a:noFill/>
                    <a:ln>
                      <a:noFill/>
                    </a:ln>
                  </pic:spPr>
                </pic:pic>
              </a:graphicData>
            </a:graphic>
          </wp:inline>
        </w:drawing>
      </w:r>
    </w:p>
    <w:p w:rsidR="00D13CC4" w:rsidRPr="00800E54" w:rsidRDefault="00D13CC4" w:rsidP="00D13CC4">
      <w:pPr>
        <w:jc w:val="center"/>
        <w:outlineLvl w:val="0"/>
        <w:rPr>
          <w:rFonts w:ascii="Times New Roman" w:hAnsi="Times New Roman"/>
          <w:sz w:val="24"/>
          <w:lang w:val="en-GB"/>
        </w:rPr>
      </w:pPr>
      <w:r w:rsidRPr="00800E54">
        <w:rPr>
          <w:rFonts w:ascii="Times New Roman" w:hAnsi="Times New Roman"/>
          <w:sz w:val="24"/>
          <w:lang w:val="en-GB"/>
        </w:rPr>
        <w:t xml:space="preserve">Figure 4. Comparison of the strategy </w:t>
      </w:r>
      <w:r w:rsidR="00132885" w:rsidRPr="00800E54">
        <w:rPr>
          <w:rFonts w:ascii="Times New Roman" w:hAnsi="Times New Roman"/>
          <w:sz w:val="24"/>
          <w:lang w:val="en-GB"/>
        </w:rPr>
        <w:t>distribution among Japanese, Chinese and non-Asian</w:t>
      </w:r>
      <w:r w:rsidRPr="00800E54">
        <w:rPr>
          <w:rFonts w:ascii="Times New Roman" w:hAnsi="Times New Roman"/>
          <w:sz w:val="24"/>
          <w:lang w:val="en-GB"/>
        </w:rPr>
        <w:t xml:space="preserve"> </w:t>
      </w:r>
      <w:r w:rsidR="00132885" w:rsidRPr="00800E54">
        <w:rPr>
          <w:rFonts w:ascii="Times New Roman" w:hAnsi="Times New Roman"/>
          <w:sz w:val="24"/>
          <w:lang w:val="en-GB"/>
        </w:rPr>
        <w:t>respondents</w:t>
      </w:r>
    </w:p>
    <w:p w:rsidR="00D13CC4" w:rsidRPr="00800E54" w:rsidRDefault="00D13CC4" w:rsidP="00D13CC4">
      <w:pPr>
        <w:widowControl/>
        <w:autoSpaceDE w:val="0"/>
        <w:autoSpaceDN w:val="0"/>
        <w:adjustRightInd w:val="0"/>
        <w:spacing w:line="400" w:lineRule="atLeast"/>
        <w:jc w:val="left"/>
        <w:rPr>
          <w:rFonts w:ascii="Times New Roman" w:hAnsi="Times New Roman"/>
          <w:kern w:val="0"/>
          <w:sz w:val="24"/>
          <w:lang w:val="en-GB"/>
        </w:rPr>
      </w:pPr>
    </w:p>
    <w:p w:rsidR="00AC7665" w:rsidRPr="00800E54" w:rsidRDefault="00AC7665" w:rsidP="00AC7665">
      <w:pPr>
        <w:tabs>
          <w:tab w:val="left" w:pos="993"/>
        </w:tabs>
        <w:rPr>
          <w:rFonts w:ascii="Times New Roman" w:hAnsi="Times New Roman"/>
          <w:sz w:val="24"/>
          <w:lang w:val="en-GB"/>
        </w:rPr>
      </w:pPr>
    </w:p>
    <w:p w:rsidR="00AC7665" w:rsidRPr="00800E54" w:rsidRDefault="00AC7665" w:rsidP="00AC7665">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4.4</w:t>
      </w:r>
      <w:r w:rsidRPr="00800E54">
        <w:rPr>
          <w:lang w:val="en-GB"/>
        </w:rPr>
        <w:t xml:space="preserve"> </w:t>
      </w:r>
      <w:r w:rsidRPr="00800E54">
        <w:rPr>
          <w:rFonts w:ascii="Times New Roman" w:hAnsi="Times New Roman"/>
          <w:b/>
          <w:kern w:val="0"/>
          <w:sz w:val="24"/>
          <w:lang w:val="en-GB"/>
        </w:rPr>
        <w:t>Association between Strategy Choice and Demand</w:t>
      </w:r>
    </w:p>
    <w:p w:rsidR="00AC7665" w:rsidRPr="00800E54" w:rsidRDefault="00AC7665" w:rsidP="00AC7665">
      <w:pPr>
        <w:tabs>
          <w:tab w:val="left" w:pos="993"/>
        </w:tabs>
        <w:rPr>
          <w:rFonts w:ascii="Times New Roman" w:hAnsi="Times New Roman"/>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In order to understand whether some user groups are more likely to adopt a given choice strategy we evaluate the association between the behaviour and demand clusters using the chi-square test. We also investigate the relationships between strategies and single demand-related variables which have been found relevant in the previous analyses of the survey or in other studies concerning route choice. The association of the choices in each SP question and the demand clusters is also studied. Table 6 lists the performed tests and the resulting significance values.</w:t>
      </w:r>
    </w:p>
    <w:p w:rsidR="00AC7665" w:rsidRPr="00800E54" w:rsidRDefault="00AC7665" w:rsidP="00AC7665">
      <w:pPr>
        <w:widowControl/>
        <w:rPr>
          <w:rFonts w:ascii="Times New Roman" w:eastAsia="MS PGothic" w:hAnsi="Times New Roman"/>
          <w:kern w:val="0"/>
          <w:sz w:val="24"/>
          <w:lang w:val="en-GB"/>
        </w:rPr>
      </w:pPr>
    </w:p>
    <w:p w:rsidR="002B4B8E" w:rsidRPr="00800E54" w:rsidRDefault="002B4B8E">
      <w:pPr>
        <w:widowControl/>
        <w:jc w:val="left"/>
        <w:rPr>
          <w:rFonts w:ascii="Times New Roman" w:hAnsi="Times New Roman"/>
          <w:sz w:val="24"/>
          <w:lang w:val="en-GB"/>
        </w:rPr>
      </w:pPr>
      <w:r w:rsidRPr="00800E54">
        <w:rPr>
          <w:rFonts w:ascii="Times New Roman" w:hAnsi="Times New Roman"/>
          <w:sz w:val="24"/>
          <w:lang w:val="en-GB"/>
        </w:rPr>
        <w:br w:type="page"/>
      </w:r>
    </w:p>
    <w:p w:rsidR="00AC7665" w:rsidRPr="00800E54" w:rsidRDefault="00AC7665" w:rsidP="00AC7665">
      <w:pPr>
        <w:tabs>
          <w:tab w:val="left" w:pos="993"/>
        </w:tabs>
        <w:jc w:val="center"/>
        <w:rPr>
          <w:rFonts w:ascii="Times New Roman" w:hAnsi="Times New Roman"/>
          <w:sz w:val="24"/>
          <w:lang w:val="en-GB"/>
        </w:rPr>
      </w:pPr>
      <w:r w:rsidRPr="00800E54">
        <w:rPr>
          <w:rFonts w:ascii="Times New Roman" w:hAnsi="Times New Roman"/>
          <w:sz w:val="24"/>
          <w:lang w:val="en-GB"/>
        </w:rPr>
        <w:lastRenderedPageBreak/>
        <w:t xml:space="preserve">Table </w:t>
      </w:r>
      <w:r w:rsidR="00B34328" w:rsidRPr="00800E54">
        <w:rPr>
          <w:rFonts w:ascii="Times New Roman" w:hAnsi="Times New Roman"/>
          <w:sz w:val="24"/>
          <w:lang w:val="en-GB"/>
        </w:rPr>
        <w:t>6</w:t>
      </w:r>
      <w:r w:rsidRPr="00800E54">
        <w:rPr>
          <w:rFonts w:ascii="Times New Roman" w:hAnsi="Times New Roman"/>
          <w:sz w:val="24"/>
          <w:lang w:val="en-GB"/>
        </w:rPr>
        <w:t>. Chi-square test on strategy choice</w:t>
      </w:r>
    </w:p>
    <w:tbl>
      <w:tblPr>
        <w:tblStyle w:val="TableGrid"/>
        <w:tblW w:w="0" w:type="auto"/>
        <w:tblLook w:val="04A0" w:firstRow="1" w:lastRow="0" w:firstColumn="1" w:lastColumn="0" w:noHBand="0" w:noVBand="1"/>
      </w:tblPr>
      <w:tblGrid>
        <w:gridCol w:w="1225"/>
        <w:gridCol w:w="1508"/>
        <w:gridCol w:w="4252"/>
        <w:gridCol w:w="938"/>
        <w:gridCol w:w="1363"/>
      </w:tblGrid>
      <w:tr w:rsidR="00AC7665" w:rsidRPr="00800E54" w:rsidTr="00AC7665">
        <w:tc>
          <w:tcPr>
            <w:tcW w:w="0" w:type="auto"/>
            <w:tcBorders>
              <w:left w:val="nil"/>
            </w:tcBorders>
          </w:tcPr>
          <w:p w:rsidR="00AC7665" w:rsidRPr="00800E54" w:rsidRDefault="00AC7665" w:rsidP="00AC7665">
            <w:pPr>
              <w:pStyle w:val="Tabletext"/>
              <w:rPr>
                <w:rFonts w:eastAsiaTheme="minorEastAsia"/>
                <w:b/>
                <w:kern w:val="2"/>
                <w:sz w:val="21"/>
                <w:szCs w:val="22"/>
                <w:lang w:eastAsia="ja-JP"/>
              </w:rPr>
            </w:pPr>
            <w:r w:rsidRPr="00800E54">
              <w:rPr>
                <w:b/>
              </w:rPr>
              <w:t>Behavioural choice</w:t>
            </w:r>
          </w:p>
        </w:tc>
        <w:tc>
          <w:tcPr>
            <w:tcW w:w="0" w:type="auto"/>
          </w:tcPr>
          <w:p w:rsidR="00AC7665" w:rsidRPr="00800E54" w:rsidRDefault="00AC7665" w:rsidP="00AC7665">
            <w:pPr>
              <w:pStyle w:val="Tabletext"/>
              <w:rPr>
                <w:rFonts w:eastAsiaTheme="minorEastAsia"/>
                <w:b/>
                <w:kern w:val="2"/>
                <w:sz w:val="21"/>
                <w:szCs w:val="22"/>
                <w:lang w:eastAsia="ja-JP"/>
              </w:rPr>
            </w:pPr>
            <w:r w:rsidRPr="00800E54">
              <w:rPr>
                <w:b/>
              </w:rPr>
              <w:t>User/trip characteristic</w:t>
            </w:r>
          </w:p>
        </w:tc>
        <w:tc>
          <w:tcPr>
            <w:tcW w:w="0" w:type="auto"/>
          </w:tcPr>
          <w:p w:rsidR="00AC7665" w:rsidRPr="00800E54" w:rsidRDefault="00AC7665" w:rsidP="00AC7665">
            <w:pPr>
              <w:pStyle w:val="Tabletext"/>
              <w:rPr>
                <w:b/>
              </w:rPr>
            </w:pPr>
            <w:r w:rsidRPr="00800E54">
              <w:rPr>
                <w:b/>
              </w:rPr>
              <w:t>Categories</w:t>
            </w:r>
          </w:p>
        </w:tc>
        <w:tc>
          <w:tcPr>
            <w:tcW w:w="0" w:type="auto"/>
          </w:tcPr>
          <w:p w:rsidR="00AC7665" w:rsidRPr="00800E54" w:rsidRDefault="00AC7665" w:rsidP="00AC7665">
            <w:pPr>
              <w:pStyle w:val="Tabletext"/>
              <w:rPr>
                <w:b/>
              </w:rPr>
            </w:pPr>
            <w:r w:rsidRPr="00800E54">
              <w:rPr>
                <w:b/>
              </w:rPr>
              <w:t>Number of cases</w:t>
            </w:r>
          </w:p>
        </w:tc>
        <w:tc>
          <w:tcPr>
            <w:tcW w:w="0" w:type="auto"/>
            <w:tcBorders>
              <w:right w:val="nil"/>
            </w:tcBorders>
          </w:tcPr>
          <w:p w:rsidR="00AC7665" w:rsidRPr="00800E54" w:rsidRDefault="00AC7665" w:rsidP="00AC7665">
            <w:pPr>
              <w:pStyle w:val="Tabletext"/>
              <w:rPr>
                <w:rFonts w:eastAsiaTheme="minorEastAsia"/>
                <w:b/>
                <w:kern w:val="2"/>
                <w:sz w:val="21"/>
                <w:szCs w:val="22"/>
                <w:lang w:eastAsia="ja-JP"/>
              </w:rPr>
            </w:pPr>
            <w:r w:rsidRPr="00800E54">
              <w:rPr>
                <w:b/>
              </w:rPr>
              <w:t>Significance (asymptotic, 2-tails)</w:t>
            </w:r>
          </w:p>
        </w:tc>
      </w:tr>
      <w:tr w:rsidR="00AC7665" w:rsidRPr="00800E54" w:rsidTr="00AC7665">
        <w:tc>
          <w:tcPr>
            <w:tcW w:w="0" w:type="auto"/>
            <w:vMerge w:val="restart"/>
            <w:tcBorders>
              <w:left w:val="nil"/>
            </w:tcBorders>
          </w:tcPr>
          <w:p w:rsidR="00AC7665" w:rsidRPr="00800E54" w:rsidRDefault="00AC7665" w:rsidP="00AC7665">
            <w:pPr>
              <w:pStyle w:val="Tabletext"/>
              <w:rPr>
                <w:rFonts w:eastAsiaTheme="minorEastAsia"/>
                <w:kern w:val="2"/>
                <w:sz w:val="21"/>
                <w:szCs w:val="22"/>
                <w:lang w:eastAsia="ja-JP"/>
              </w:rPr>
            </w:pPr>
            <w:r w:rsidRPr="00800E54">
              <w:t>Behaviour cluster</w:t>
            </w:r>
          </w:p>
        </w:tc>
        <w:tc>
          <w:tcPr>
            <w:tcW w:w="0" w:type="auto"/>
          </w:tcPr>
          <w:p w:rsidR="00AC7665" w:rsidRPr="00800E54" w:rsidRDefault="00AC7665" w:rsidP="00AC7665">
            <w:pPr>
              <w:pStyle w:val="Tabletext"/>
            </w:pPr>
            <w:r w:rsidRPr="00800E54">
              <w:t>Demand cluster</w:t>
            </w:r>
          </w:p>
        </w:tc>
        <w:tc>
          <w:tcPr>
            <w:tcW w:w="0" w:type="auto"/>
          </w:tcPr>
          <w:p w:rsidR="00AC7665" w:rsidRPr="00800E54" w:rsidRDefault="00AC7665" w:rsidP="00202689">
            <w:pPr>
              <w:pStyle w:val="Tabletext"/>
            </w:pPr>
            <w:r w:rsidRPr="00800E54">
              <w:t xml:space="preserve">See </w:t>
            </w:r>
            <w:r w:rsidR="00202689" w:rsidRPr="00800E54">
              <w:t>Figure 3</w:t>
            </w:r>
          </w:p>
        </w:tc>
        <w:tc>
          <w:tcPr>
            <w:tcW w:w="0" w:type="auto"/>
          </w:tcPr>
          <w:p w:rsidR="00AC7665" w:rsidRPr="00800E54" w:rsidRDefault="00AC7665" w:rsidP="00AC7665">
            <w:pPr>
              <w:pStyle w:val="Tabletext"/>
            </w:pPr>
            <w:r w:rsidRPr="00800E54">
              <w:t>394</w:t>
            </w:r>
          </w:p>
        </w:tc>
        <w:tc>
          <w:tcPr>
            <w:tcW w:w="0" w:type="auto"/>
            <w:tcBorders>
              <w:right w:val="nil"/>
            </w:tcBorders>
          </w:tcPr>
          <w:p w:rsidR="00AC7665" w:rsidRPr="00800E54" w:rsidRDefault="00AC7665" w:rsidP="00AC7665">
            <w:pPr>
              <w:pStyle w:val="Tabletext"/>
            </w:pPr>
            <w:r w:rsidRPr="00800E54">
              <w:t>0.44</w:t>
            </w:r>
          </w:p>
        </w:tc>
      </w:tr>
      <w:tr w:rsidR="00AC7665" w:rsidRPr="00800E54" w:rsidTr="00AC7665">
        <w:tc>
          <w:tcPr>
            <w:tcW w:w="0" w:type="auto"/>
            <w:vMerge/>
            <w:tcBorders>
              <w:left w:val="nil"/>
            </w:tcBorders>
          </w:tcPr>
          <w:p w:rsidR="00AC7665" w:rsidRPr="00800E54" w:rsidRDefault="00AC7665" w:rsidP="00AC7665">
            <w:pPr>
              <w:pStyle w:val="Tabletext"/>
            </w:pPr>
          </w:p>
        </w:tc>
        <w:tc>
          <w:tcPr>
            <w:tcW w:w="0" w:type="auto"/>
          </w:tcPr>
          <w:p w:rsidR="00AC7665" w:rsidRPr="00800E54" w:rsidRDefault="00AC7665" w:rsidP="00AC7665">
            <w:pPr>
              <w:pStyle w:val="Tabletext"/>
            </w:pPr>
            <w:r w:rsidRPr="00800E54">
              <w:t>Gender</w:t>
            </w:r>
          </w:p>
        </w:tc>
        <w:tc>
          <w:tcPr>
            <w:tcW w:w="0" w:type="auto"/>
          </w:tcPr>
          <w:p w:rsidR="00AC7665" w:rsidRPr="00800E54" w:rsidRDefault="00AC7665" w:rsidP="00AC7665">
            <w:pPr>
              <w:pStyle w:val="Tabletext"/>
            </w:pPr>
            <w:r w:rsidRPr="00800E54">
              <w:t>Male, Female</w:t>
            </w:r>
          </w:p>
        </w:tc>
        <w:tc>
          <w:tcPr>
            <w:tcW w:w="0" w:type="auto"/>
          </w:tcPr>
          <w:p w:rsidR="00AC7665" w:rsidRPr="00800E54" w:rsidRDefault="00AC7665" w:rsidP="00AC7665">
            <w:pPr>
              <w:pStyle w:val="Tabletext"/>
            </w:pPr>
            <w:r w:rsidRPr="00800E54">
              <w:t>523</w:t>
            </w:r>
          </w:p>
        </w:tc>
        <w:tc>
          <w:tcPr>
            <w:tcW w:w="0" w:type="auto"/>
            <w:tcBorders>
              <w:right w:val="nil"/>
            </w:tcBorders>
          </w:tcPr>
          <w:p w:rsidR="00AC7665" w:rsidRPr="00800E54" w:rsidRDefault="00AC7665" w:rsidP="00AC7665">
            <w:pPr>
              <w:pStyle w:val="Tabletext"/>
            </w:pPr>
            <w:r w:rsidRPr="00800E54">
              <w:t>0.10</w:t>
            </w:r>
          </w:p>
        </w:tc>
      </w:tr>
      <w:tr w:rsidR="00AC7665" w:rsidRPr="00800E54" w:rsidTr="00AC7665">
        <w:tc>
          <w:tcPr>
            <w:tcW w:w="0" w:type="auto"/>
            <w:vMerge/>
            <w:tcBorders>
              <w:left w:val="nil"/>
            </w:tcBorders>
          </w:tcPr>
          <w:p w:rsidR="00AC7665" w:rsidRPr="00800E54" w:rsidRDefault="00AC7665" w:rsidP="00AC7665">
            <w:pPr>
              <w:pStyle w:val="Tabletext"/>
            </w:pPr>
          </w:p>
        </w:tc>
        <w:tc>
          <w:tcPr>
            <w:tcW w:w="0" w:type="auto"/>
          </w:tcPr>
          <w:p w:rsidR="00AC7665" w:rsidRPr="00800E54" w:rsidRDefault="00AC7665" w:rsidP="00AC7665">
            <w:pPr>
              <w:pStyle w:val="Tabletext"/>
              <w:rPr>
                <w:rFonts w:eastAsiaTheme="minorEastAsia"/>
                <w:kern w:val="2"/>
                <w:sz w:val="21"/>
                <w:szCs w:val="22"/>
                <w:lang w:eastAsia="ja-JP"/>
              </w:rPr>
            </w:pPr>
            <w:r w:rsidRPr="00800E54">
              <w:t>Age</w:t>
            </w:r>
          </w:p>
        </w:tc>
        <w:tc>
          <w:tcPr>
            <w:tcW w:w="0" w:type="auto"/>
          </w:tcPr>
          <w:p w:rsidR="00AC7665" w:rsidRPr="00800E54" w:rsidRDefault="00AC7665" w:rsidP="00AC7665">
            <w:pPr>
              <w:pStyle w:val="Tabletext"/>
            </w:pPr>
            <w:r w:rsidRPr="00800E54">
              <w:t>≤29-,30-49, ≥50</w:t>
            </w:r>
          </w:p>
        </w:tc>
        <w:tc>
          <w:tcPr>
            <w:tcW w:w="0" w:type="auto"/>
          </w:tcPr>
          <w:p w:rsidR="00AC7665" w:rsidRPr="00800E54" w:rsidRDefault="00AC7665" w:rsidP="00AC7665">
            <w:pPr>
              <w:pStyle w:val="Tabletext"/>
            </w:pPr>
            <w:r w:rsidRPr="00800E54">
              <w:t>523</w:t>
            </w:r>
          </w:p>
        </w:tc>
        <w:tc>
          <w:tcPr>
            <w:tcW w:w="0" w:type="auto"/>
            <w:tcBorders>
              <w:right w:val="nil"/>
            </w:tcBorders>
          </w:tcPr>
          <w:p w:rsidR="00AC7665" w:rsidRPr="00800E54" w:rsidRDefault="00AC7665" w:rsidP="00AC7665">
            <w:pPr>
              <w:pStyle w:val="Tabletext"/>
              <w:rPr>
                <w:b/>
              </w:rPr>
            </w:pPr>
            <w:r w:rsidRPr="00800E54">
              <w:rPr>
                <w:b/>
              </w:rPr>
              <w:t>0.04</w:t>
            </w:r>
          </w:p>
        </w:tc>
      </w:tr>
      <w:tr w:rsidR="00AC7665" w:rsidRPr="00800E54" w:rsidTr="00AC7665">
        <w:tc>
          <w:tcPr>
            <w:tcW w:w="0" w:type="auto"/>
            <w:vMerge/>
            <w:tcBorders>
              <w:left w:val="nil"/>
            </w:tcBorders>
          </w:tcPr>
          <w:p w:rsidR="00AC7665" w:rsidRPr="00800E54" w:rsidRDefault="00AC7665" w:rsidP="00AC7665">
            <w:pPr>
              <w:pStyle w:val="Tabletext"/>
            </w:pPr>
          </w:p>
        </w:tc>
        <w:tc>
          <w:tcPr>
            <w:tcW w:w="0" w:type="auto"/>
          </w:tcPr>
          <w:p w:rsidR="00AC7665" w:rsidRPr="00800E54" w:rsidRDefault="00AC7665" w:rsidP="00AC7665">
            <w:pPr>
              <w:pStyle w:val="Tabletext"/>
            </w:pPr>
            <w:r w:rsidRPr="00800E54">
              <w:t>Occupation</w:t>
            </w:r>
          </w:p>
        </w:tc>
        <w:tc>
          <w:tcPr>
            <w:tcW w:w="0" w:type="auto"/>
          </w:tcPr>
          <w:p w:rsidR="00AC7665" w:rsidRPr="00800E54" w:rsidRDefault="00AC7665" w:rsidP="00AC7665">
            <w:pPr>
              <w:pStyle w:val="Tabletext"/>
            </w:pPr>
            <w:r w:rsidRPr="00800E54">
              <w:t>Student, Employee, Other</w:t>
            </w:r>
          </w:p>
        </w:tc>
        <w:tc>
          <w:tcPr>
            <w:tcW w:w="0" w:type="auto"/>
          </w:tcPr>
          <w:p w:rsidR="00AC7665" w:rsidRPr="00800E54" w:rsidRDefault="00AC7665" w:rsidP="00AC7665">
            <w:pPr>
              <w:pStyle w:val="Tabletext"/>
            </w:pPr>
            <w:r w:rsidRPr="00800E54">
              <w:t>523</w:t>
            </w:r>
          </w:p>
        </w:tc>
        <w:tc>
          <w:tcPr>
            <w:tcW w:w="0" w:type="auto"/>
            <w:tcBorders>
              <w:right w:val="nil"/>
            </w:tcBorders>
          </w:tcPr>
          <w:p w:rsidR="00AC7665" w:rsidRPr="00800E54" w:rsidRDefault="00AC7665" w:rsidP="00AC7665">
            <w:pPr>
              <w:pStyle w:val="Tabletext"/>
              <w:rPr>
                <w:b/>
              </w:rPr>
            </w:pPr>
            <w:r w:rsidRPr="00800E54">
              <w:rPr>
                <w:b/>
              </w:rPr>
              <w:t>0.03</w:t>
            </w:r>
          </w:p>
        </w:tc>
      </w:tr>
      <w:tr w:rsidR="00AC7665" w:rsidRPr="00800E54" w:rsidTr="00AC7665">
        <w:tc>
          <w:tcPr>
            <w:tcW w:w="0" w:type="auto"/>
            <w:vMerge/>
            <w:tcBorders>
              <w:left w:val="nil"/>
            </w:tcBorders>
          </w:tcPr>
          <w:p w:rsidR="00AC7665" w:rsidRPr="00800E54" w:rsidRDefault="00AC7665" w:rsidP="00AC7665">
            <w:pPr>
              <w:pStyle w:val="Tabletext"/>
            </w:pPr>
          </w:p>
        </w:tc>
        <w:tc>
          <w:tcPr>
            <w:tcW w:w="0" w:type="auto"/>
          </w:tcPr>
          <w:p w:rsidR="00AC7665" w:rsidRPr="00800E54" w:rsidRDefault="00AC7665" w:rsidP="00AC7665">
            <w:pPr>
              <w:pStyle w:val="Tabletext"/>
            </w:pPr>
            <w:r w:rsidRPr="00800E54">
              <w:t>Importance of punctuality</w:t>
            </w:r>
          </w:p>
        </w:tc>
        <w:tc>
          <w:tcPr>
            <w:tcW w:w="0" w:type="auto"/>
          </w:tcPr>
          <w:p w:rsidR="00AC7665" w:rsidRPr="00800E54" w:rsidRDefault="00AC7665" w:rsidP="00AC7665">
            <w:pPr>
              <w:pStyle w:val="Tabletext"/>
            </w:pPr>
            <w:r w:rsidRPr="00800E54">
              <w:t>Not important to important: 1-2, 3, 4-5 of the original scale</w:t>
            </w:r>
          </w:p>
        </w:tc>
        <w:tc>
          <w:tcPr>
            <w:tcW w:w="0" w:type="auto"/>
          </w:tcPr>
          <w:p w:rsidR="00AC7665" w:rsidRPr="00800E54" w:rsidRDefault="00AC7665" w:rsidP="00AC7665">
            <w:pPr>
              <w:pStyle w:val="Tabletext"/>
            </w:pPr>
            <w:r w:rsidRPr="00800E54">
              <w:t>520</w:t>
            </w:r>
          </w:p>
        </w:tc>
        <w:tc>
          <w:tcPr>
            <w:tcW w:w="0" w:type="auto"/>
            <w:tcBorders>
              <w:right w:val="nil"/>
            </w:tcBorders>
          </w:tcPr>
          <w:p w:rsidR="00AC7665" w:rsidRPr="00800E54" w:rsidRDefault="00AC7665" w:rsidP="00AC7665">
            <w:pPr>
              <w:pStyle w:val="Tabletext"/>
            </w:pPr>
            <w:r w:rsidRPr="00800E54">
              <w:t>0.84</w:t>
            </w:r>
          </w:p>
        </w:tc>
      </w:tr>
      <w:tr w:rsidR="00AC7665" w:rsidRPr="00800E54" w:rsidTr="00AC7665">
        <w:tc>
          <w:tcPr>
            <w:tcW w:w="0" w:type="auto"/>
            <w:vMerge/>
            <w:tcBorders>
              <w:left w:val="nil"/>
            </w:tcBorders>
          </w:tcPr>
          <w:p w:rsidR="00AC7665" w:rsidRPr="00800E54" w:rsidRDefault="00AC7665" w:rsidP="00AC7665">
            <w:pPr>
              <w:pStyle w:val="Tabletext"/>
            </w:pPr>
          </w:p>
        </w:tc>
        <w:tc>
          <w:tcPr>
            <w:tcW w:w="0" w:type="auto"/>
          </w:tcPr>
          <w:p w:rsidR="00AC7665" w:rsidRPr="00800E54" w:rsidRDefault="00AC7665" w:rsidP="00AC7665">
            <w:pPr>
              <w:pStyle w:val="Tabletext"/>
            </w:pPr>
            <w:r w:rsidRPr="00800E54">
              <w:t xml:space="preserve">Travel time </w:t>
            </w:r>
            <w:r w:rsidR="006E74FE" w:rsidRPr="00800E54">
              <w:t>un</w:t>
            </w:r>
            <w:r w:rsidRPr="00800E54">
              <w:t>reliability*</w:t>
            </w:r>
          </w:p>
        </w:tc>
        <w:tc>
          <w:tcPr>
            <w:tcW w:w="0" w:type="auto"/>
          </w:tcPr>
          <w:p w:rsidR="00AC7665" w:rsidRPr="00800E54" w:rsidRDefault="00AC7665" w:rsidP="00AC7665">
            <w:pPr>
              <w:pStyle w:val="Tabletext"/>
            </w:pPr>
            <w:r w:rsidRPr="00800E54">
              <w:t>0, [0;0.5), [0.5,1), ≥1</w:t>
            </w:r>
          </w:p>
        </w:tc>
        <w:tc>
          <w:tcPr>
            <w:tcW w:w="0" w:type="auto"/>
          </w:tcPr>
          <w:p w:rsidR="00AC7665" w:rsidRPr="00800E54" w:rsidRDefault="00AC7665" w:rsidP="00AC7665">
            <w:pPr>
              <w:pStyle w:val="Tabletext"/>
            </w:pPr>
            <w:r w:rsidRPr="00800E54">
              <w:t>523</w:t>
            </w:r>
          </w:p>
        </w:tc>
        <w:tc>
          <w:tcPr>
            <w:tcW w:w="0" w:type="auto"/>
            <w:tcBorders>
              <w:right w:val="nil"/>
            </w:tcBorders>
          </w:tcPr>
          <w:p w:rsidR="00AC7665" w:rsidRPr="00800E54" w:rsidRDefault="00AC7665" w:rsidP="00AC7665">
            <w:pPr>
              <w:pStyle w:val="Tabletext"/>
              <w:rPr>
                <w:b/>
              </w:rPr>
            </w:pPr>
            <w:r w:rsidRPr="00800E54">
              <w:rPr>
                <w:b/>
              </w:rPr>
              <w:t>0.03</w:t>
            </w:r>
          </w:p>
        </w:tc>
      </w:tr>
      <w:tr w:rsidR="00AC7665" w:rsidRPr="00800E54" w:rsidTr="00AC7665">
        <w:tc>
          <w:tcPr>
            <w:tcW w:w="0" w:type="auto"/>
            <w:vMerge/>
            <w:tcBorders>
              <w:left w:val="nil"/>
            </w:tcBorders>
          </w:tcPr>
          <w:p w:rsidR="00AC7665" w:rsidRPr="00800E54" w:rsidRDefault="00AC7665" w:rsidP="00AC7665">
            <w:pPr>
              <w:pStyle w:val="Tabletext"/>
            </w:pPr>
          </w:p>
        </w:tc>
        <w:tc>
          <w:tcPr>
            <w:tcW w:w="0" w:type="auto"/>
          </w:tcPr>
          <w:p w:rsidR="00AC7665" w:rsidRPr="00800E54" w:rsidRDefault="00AC7665" w:rsidP="00AC7665">
            <w:pPr>
              <w:pStyle w:val="Tabletext"/>
            </w:pPr>
            <w:r w:rsidRPr="00800E54">
              <w:t>Usual congestion</w:t>
            </w:r>
          </w:p>
        </w:tc>
        <w:tc>
          <w:tcPr>
            <w:tcW w:w="0" w:type="auto"/>
          </w:tcPr>
          <w:p w:rsidR="00AC7665" w:rsidRPr="00800E54" w:rsidRDefault="00AC7665" w:rsidP="00AC7665">
            <w:pPr>
              <w:pStyle w:val="Tabletext"/>
            </w:pPr>
            <w:r w:rsidRPr="00800E54">
              <w:t>You can always find a seat, Sometimes you have to stand, You always have to stand, Sometimes you can’t get onto the first vehicle</w:t>
            </w:r>
          </w:p>
        </w:tc>
        <w:tc>
          <w:tcPr>
            <w:tcW w:w="0" w:type="auto"/>
          </w:tcPr>
          <w:p w:rsidR="00AC7665" w:rsidRPr="00800E54" w:rsidRDefault="00AC7665" w:rsidP="00AC7665">
            <w:pPr>
              <w:pStyle w:val="Tabletext"/>
            </w:pPr>
            <w:r w:rsidRPr="00800E54">
              <w:t>523</w:t>
            </w:r>
          </w:p>
        </w:tc>
        <w:tc>
          <w:tcPr>
            <w:tcW w:w="0" w:type="auto"/>
            <w:tcBorders>
              <w:right w:val="nil"/>
            </w:tcBorders>
          </w:tcPr>
          <w:p w:rsidR="00AC7665" w:rsidRPr="00800E54" w:rsidRDefault="00AC7665" w:rsidP="00AC7665">
            <w:pPr>
              <w:pStyle w:val="Tabletext"/>
            </w:pPr>
            <w:r w:rsidRPr="00800E54">
              <w:t>0.51</w:t>
            </w:r>
          </w:p>
        </w:tc>
      </w:tr>
      <w:tr w:rsidR="00AC7665" w:rsidRPr="00800E54" w:rsidTr="00AC7665">
        <w:tc>
          <w:tcPr>
            <w:tcW w:w="0" w:type="auto"/>
            <w:vMerge/>
            <w:tcBorders>
              <w:left w:val="nil"/>
            </w:tcBorders>
          </w:tcPr>
          <w:p w:rsidR="00AC7665" w:rsidRPr="00800E54" w:rsidRDefault="00AC7665" w:rsidP="00AC7665">
            <w:pPr>
              <w:pStyle w:val="Tabletext"/>
            </w:pPr>
          </w:p>
        </w:tc>
        <w:tc>
          <w:tcPr>
            <w:tcW w:w="0" w:type="auto"/>
          </w:tcPr>
          <w:p w:rsidR="00AC7665" w:rsidRPr="00800E54" w:rsidRDefault="00AC7665" w:rsidP="00AC7665">
            <w:pPr>
              <w:pStyle w:val="Tabletext"/>
            </w:pPr>
            <w:r w:rsidRPr="00800E54">
              <w:t>Knowledge about service characteristics</w:t>
            </w:r>
          </w:p>
        </w:tc>
        <w:tc>
          <w:tcPr>
            <w:tcW w:w="0" w:type="auto"/>
          </w:tcPr>
          <w:p w:rsidR="00AC7665" w:rsidRPr="00800E54" w:rsidRDefault="00AC7665" w:rsidP="00AC7665">
            <w:pPr>
              <w:pStyle w:val="Tabletext"/>
            </w:pPr>
            <w:r w:rsidRPr="00800E54">
              <w:t>[Regarding the departure times of the lines you use, the passenger knows] Only the departing time from the starting point of the trip, The line frequency at the starting stop/station, The line frequencies at each transfer point of the trip, The complete timetable only at the starting stop/station, The complete timetable at each transfer point along the trip</w:t>
            </w:r>
          </w:p>
        </w:tc>
        <w:tc>
          <w:tcPr>
            <w:tcW w:w="0" w:type="auto"/>
          </w:tcPr>
          <w:p w:rsidR="00AC7665" w:rsidRPr="00800E54" w:rsidRDefault="00AC7665" w:rsidP="00AC7665">
            <w:pPr>
              <w:pStyle w:val="Tabletext"/>
            </w:pPr>
            <w:r w:rsidRPr="00800E54">
              <w:t>481</w:t>
            </w:r>
          </w:p>
        </w:tc>
        <w:tc>
          <w:tcPr>
            <w:tcW w:w="0" w:type="auto"/>
            <w:tcBorders>
              <w:right w:val="nil"/>
            </w:tcBorders>
          </w:tcPr>
          <w:p w:rsidR="00AC7665" w:rsidRPr="00800E54" w:rsidRDefault="00AC7665" w:rsidP="00AC7665">
            <w:pPr>
              <w:pStyle w:val="Tabletext"/>
            </w:pPr>
            <w:r w:rsidRPr="00800E54">
              <w:t>0.21</w:t>
            </w:r>
          </w:p>
        </w:tc>
      </w:tr>
      <w:tr w:rsidR="00AC7665" w:rsidRPr="00800E54" w:rsidTr="00AC7665">
        <w:trPr>
          <w:trHeight w:val="91"/>
        </w:trPr>
        <w:tc>
          <w:tcPr>
            <w:tcW w:w="0" w:type="auto"/>
            <w:tcBorders>
              <w:left w:val="nil"/>
            </w:tcBorders>
          </w:tcPr>
          <w:p w:rsidR="00AC7665" w:rsidRPr="00800E54" w:rsidRDefault="00AC7665" w:rsidP="00AC7665">
            <w:pPr>
              <w:pStyle w:val="Tabletext"/>
            </w:pPr>
            <w:r w:rsidRPr="00800E54">
              <w:t>Q29-Q33</w:t>
            </w:r>
          </w:p>
        </w:tc>
        <w:tc>
          <w:tcPr>
            <w:tcW w:w="0" w:type="auto"/>
            <w:vMerge w:val="restart"/>
          </w:tcPr>
          <w:p w:rsidR="00AC7665" w:rsidRPr="00800E54" w:rsidRDefault="00AC7665" w:rsidP="00AC7665">
            <w:pPr>
              <w:pStyle w:val="Tabletext"/>
            </w:pPr>
            <w:r w:rsidRPr="00800E54">
              <w:t>Demand cluster</w:t>
            </w:r>
          </w:p>
        </w:tc>
        <w:tc>
          <w:tcPr>
            <w:tcW w:w="0" w:type="auto"/>
            <w:vMerge w:val="restart"/>
          </w:tcPr>
          <w:p w:rsidR="00AC7665" w:rsidRPr="00800E54" w:rsidRDefault="00202689" w:rsidP="00AC7665">
            <w:pPr>
              <w:pStyle w:val="Tabletext"/>
            </w:pPr>
            <w:r w:rsidRPr="00800E54">
              <w:t>See Figure 3</w:t>
            </w:r>
          </w:p>
        </w:tc>
        <w:tc>
          <w:tcPr>
            <w:tcW w:w="0" w:type="auto"/>
          </w:tcPr>
          <w:p w:rsidR="00AC7665" w:rsidRPr="00800E54" w:rsidRDefault="00AC7665" w:rsidP="00AC7665">
            <w:pPr>
              <w:pStyle w:val="Tabletext"/>
            </w:pPr>
            <w:r w:rsidRPr="00800E54">
              <w:t>394</w:t>
            </w:r>
          </w:p>
        </w:tc>
        <w:tc>
          <w:tcPr>
            <w:tcW w:w="0" w:type="auto"/>
            <w:tcBorders>
              <w:right w:val="nil"/>
            </w:tcBorders>
          </w:tcPr>
          <w:p w:rsidR="00AC7665" w:rsidRPr="00800E54" w:rsidRDefault="00AC7665" w:rsidP="00AC7665">
            <w:pPr>
              <w:pStyle w:val="Tabletext"/>
            </w:pPr>
            <w:r w:rsidRPr="00800E54">
              <w:t>0.31, 0.90,0.62, 0.85, 0.10</w:t>
            </w:r>
          </w:p>
        </w:tc>
      </w:tr>
      <w:tr w:rsidR="00AC7665" w:rsidRPr="00800E54" w:rsidTr="00AC7665">
        <w:tc>
          <w:tcPr>
            <w:tcW w:w="0" w:type="auto"/>
            <w:tcBorders>
              <w:left w:val="nil"/>
            </w:tcBorders>
          </w:tcPr>
          <w:p w:rsidR="00AC7665" w:rsidRPr="00800E54" w:rsidRDefault="00AC7665" w:rsidP="00AC7665">
            <w:pPr>
              <w:pStyle w:val="Tabletext"/>
            </w:pPr>
            <w:r w:rsidRPr="00800E54">
              <w:t>Q34</w:t>
            </w:r>
          </w:p>
        </w:tc>
        <w:tc>
          <w:tcPr>
            <w:tcW w:w="0" w:type="auto"/>
            <w:vMerge/>
          </w:tcPr>
          <w:p w:rsidR="00AC7665" w:rsidRPr="00800E54" w:rsidRDefault="00AC7665" w:rsidP="00AC7665">
            <w:pPr>
              <w:pStyle w:val="Tabletext"/>
            </w:pPr>
          </w:p>
        </w:tc>
        <w:tc>
          <w:tcPr>
            <w:tcW w:w="0" w:type="auto"/>
            <w:vMerge/>
          </w:tcPr>
          <w:p w:rsidR="00AC7665" w:rsidRPr="00800E54" w:rsidRDefault="00AC7665" w:rsidP="00AC7665">
            <w:pPr>
              <w:pStyle w:val="Tabletext"/>
            </w:pPr>
          </w:p>
        </w:tc>
        <w:tc>
          <w:tcPr>
            <w:tcW w:w="0" w:type="auto"/>
          </w:tcPr>
          <w:p w:rsidR="00AC7665" w:rsidRPr="00800E54" w:rsidRDefault="00AC7665" w:rsidP="00AC7665">
            <w:pPr>
              <w:pStyle w:val="Tabletext"/>
            </w:pPr>
            <w:r w:rsidRPr="00800E54">
              <w:t>394</w:t>
            </w:r>
          </w:p>
        </w:tc>
        <w:tc>
          <w:tcPr>
            <w:tcW w:w="0" w:type="auto"/>
            <w:tcBorders>
              <w:right w:val="nil"/>
            </w:tcBorders>
          </w:tcPr>
          <w:p w:rsidR="00AC7665" w:rsidRPr="00800E54" w:rsidRDefault="00AC7665" w:rsidP="00AC7665">
            <w:pPr>
              <w:pStyle w:val="Tabletext"/>
              <w:rPr>
                <w:b/>
              </w:rPr>
            </w:pPr>
            <w:r w:rsidRPr="00800E54">
              <w:rPr>
                <w:b/>
              </w:rPr>
              <w:t>0.04</w:t>
            </w:r>
          </w:p>
        </w:tc>
      </w:tr>
    </w:tbl>
    <w:p w:rsidR="00AC7665" w:rsidRPr="00800E54" w:rsidRDefault="00AC7665" w:rsidP="00AC7665">
      <w:pPr>
        <w:rPr>
          <w:rFonts w:ascii="Times New Roman" w:hAnsi="Times New Roman"/>
          <w:lang w:val="en-GB"/>
        </w:rPr>
      </w:pPr>
      <w:r w:rsidRPr="00800E54">
        <w:rPr>
          <w:rFonts w:ascii="Times New Roman" w:hAnsi="Times New Roman"/>
          <w:lang w:val="en-GB"/>
        </w:rPr>
        <w:t xml:space="preserve">* </w:t>
      </w:r>
      <m:oMath>
        <m:f>
          <m:fPr>
            <m:ctrlPr>
              <w:rPr>
                <w:rFonts w:ascii="Cambria Math" w:hAnsi="Times New Roman"/>
                <w:i/>
                <w:lang w:val="en-GB"/>
              </w:rPr>
            </m:ctrlPr>
          </m:fPr>
          <m:num>
            <m:r>
              <w:rPr>
                <w:rFonts w:ascii="Cambria Math" w:hAnsi="Cambria Math"/>
                <w:lang w:val="en-GB"/>
              </w:rPr>
              <m:t>maxTT</m:t>
            </m:r>
            <m:r>
              <w:rPr>
                <w:rFonts w:ascii="Times New Roman" w:hAnsi="Times New Roman"/>
                <w:lang w:val="en-GB"/>
              </w:rPr>
              <m:t>-</m:t>
            </m:r>
            <m:r>
              <w:rPr>
                <w:rFonts w:ascii="Cambria Math" w:hAnsi="Cambria Math"/>
                <w:lang w:val="en-GB"/>
              </w:rPr>
              <m:t>minTT</m:t>
            </m:r>
          </m:num>
          <m:den>
            <m:r>
              <w:rPr>
                <w:rFonts w:ascii="Cambria Math" w:hAnsi="Cambria Math"/>
                <w:lang w:val="en-GB"/>
              </w:rPr>
              <m:t>aveTT</m:t>
            </m:r>
          </m:den>
        </m:f>
      </m:oMath>
      <w:r w:rsidRPr="00800E54">
        <w:rPr>
          <w:rFonts w:ascii="Times New Roman" w:hAnsi="Times New Roman"/>
          <w:lang w:val="en-GB"/>
        </w:rPr>
        <w:t xml:space="preserve"> where maxTT, minTT and aveTT are the maximum, the minimum, and the average travel time</w:t>
      </w:r>
    </w:p>
    <w:p w:rsidR="00AC7665" w:rsidRPr="00800E54" w:rsidRDefault="00AC7665" w:rsidP="00AC7665">
      <w:pPr>
        <w:widowControl/>
        <w:ind w:firstLineChars="250" w:firstLine="600"/>
        <w:rPr>
          <w:rFonts w:ascii="Times New Roman" w:eastAsia="MS PGothic" w:hAnsi="Times New Roman"/>
          <w:kern w:val="0"/>
          <w:sz w:val="24"/>
          <w:lang w:val="en-GB"/>
        </w:rPr>
      </w:pPr>
    </w:p>
    <w:p w:rsidR="00AC7665" w:rsidRPr="00800E54" w:rsidRDefault="00AC7665" w:rsidP="00AC7665">
      <w:pPr>
        <w:widowControl/>
        <w:ind w:firstLineChars="250" w:firstLine="600"/>
        <w:rPr>
          <w:rFonts w:ascii="Times New Roman" w:eastAsia="MS PGothic" w:hAnsi="Times New Roman"/>
          <w:kern w:val="0"/>
          <w:sz w:val="24"/>
          <w:lang w:val="en-GB"/>
        </w:rPr>
      </w:pPr>
    </w:p>
    <w:p w:rsidR="00ED3964" w:rsidRPr="00800E54" w:rsidRDefault="00CD429C" w:rsidP="00AC7665">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 xml:space="preserve">The association between behaviour and demand clusters is not significant probably because of the large prevalence of </w:t>
      </w:r>
      <w:r w:rsidR="00FA70D5" w:rsidRPr="00800E54">
        <w:rPr>
          <w:rFonts w:ascii="Times New Roman" w:eastAsia="MS PGothic" w:hAnsi="Times New Roman"/>
          <w:kern w:val="0"/>
          <w:sz w:val="24"/>
          <w:lang w:val="en-GB"/>
        </w:rPr>
        <w:t xml:space="preserve">demand cluster 1 respondents in the sample. </w:t>
      </w:r>
      <w:r w:rsidR="00ED3964" w:rsidRPr="00800E54">
        <w:rPr>
          <w:rFonts w:ascii="Times New Roman" w:eastAsia="MS PGothic" w:hAnsi="Times New Roman"/>
          <w:kern w:val="0"/>
          <w:sz w:val="24"/>
          <w:lang w:val="en-GB"/>
        </w:rPr>
        <w:t>There are s</w:t>
      </w:r>
      <w:r w:rsidR="00AC7665" w:rsidRPr="00800E54">
        <w:rPr>
          <w:rFonts w:ascii="Times New Roman" w:eastAsia="MS PGothic" w:hAnsi="Times New Roman"/>
          <w:kern w:val="0"/>
          <w:sz w:val="24"/>
          <w:lang w:val="en-GB"/>
        </w:rPr>
        <w:t>ignificant association</w:t>
      </w:r>
      <w:r w:rsidR="00B22B94" w:rsidRPr="00800E54">
        <w:rPr>
          <w:rFonts w:ascii="Times New Roman" w:eastAsia="MS PGothic" w:hAnsi="Times New Roman"/>
          <w:kern w:val="0"/>
          <w:sz w:val="24"/>
          <w:lang w:val="en-GB"/>
        </w:rPr>
        <w:t>s</w:t>
      </w:r>
      <w:r w:rsidR="00AC7665" w:rsidRPr="00800E54">
        <w:rPr>
          <w:rFonts w:ascii="Times New Roman" w:eastAsia="MS PGothic" w:hAnsi="Times New Roman"/>
          <w:kern w:val="0"/>
          <w:sz w:val="24"/>
          <w:lang w:val="en-GB"/>
        </w:rPr>
        <w:t xml:space="preserve"> </w:t>
      </w:r>
      <w:r w:rsidR="00ED3964" w:rsidRPr="00800E54">
        <w:rPr>
          <w:rFonts w:ascii="Times New Roman" w:eastAsia="MS PGothic" w:hAnsi="Times New Roman"/>
          <w:kern w:val="0"/>
          <w:sz w:val="24"/>
          <w:lang w:val="en-GB"/>
        </w:rPr>
        <w:t xml:space="preserve">between the </w:t>
      </w:r>
      <w:r w:rsidR="00AC7665" w:rsidRPr="00800E54">
        <w:rPr>
          <w:rFonts w:ascii="Times New Roman" w:eastAsia="MS PGothic" w:hAnsi="Times New Roman"/>
          <w:kern w:val="0"/>
          <w:sz w:val="24"/>
          <w:lang w:val="en-GB"/>
        </w:rPr>
        <w:t>behaviour clusters</w:t>
      </w:r>
      <w:r w:rsidR="00B22B94" w:rsidRPr="00800E54">
        <w:rPr>
          <w:rFonts w:ascii="Times New Roman" w:eastAsia="MS PGothic" w:hAnsi="Times New Roman"/>
          <w:kern w:val="0"/>
          <w:sz w:val="24"/>
          <w:lang w:val="en-GB"/>
        </w:rPr>
        <w:t xml:space="preserve"> </w:t>
      </w:r>
      <w:r w:rsidR="00ED3964" w:rsidRPr="00800E54">
        <w:rPr>
          <w:rFonts w:ascii="Times New Roman" w:eastAsia="MS PGothic" w:hAnsi="Times New Roman"/>
          <w:kern w:val="0"/>
          <w:sz w:val="24"/>
          <w:lang w:val="en-GB"/>
        </w:rPr>
        <w:t>and sociodemographics though. We find that respondents aged over 49 are more likely to be “hyperpath resolute”</w:t>
      </w:r>
      <w:r w:rsidR="0090475E" w:rsidRPr="00800E54">
        <w:rPr>
          <w:rFonts w:ascii="Times New Roman" w:eastAsia="MS PGothic" w:hAnsi="Times New Roman"/>
          <w:kern w:val="0"/>
          <w:sz w:val="24"/>
          <w:lang w:val="en-GB"/>
        </w:rPr>
        <w:t xml:space="preserve"> whereas younger respondents adopt more often the cluster 4 strategy</w:t>
      </w:r>
      <w:r w:rsidR="00ED3964" w:rsidRPr="00800E54">
        <w:rPr>
          <w:rFonts w:ascii="Times New Roman" w:eastAsia="MS PGothic" w:hAnsi="Times New Roman"/>
          <w:kern w:val="0"/>
          <w:sz w:val="24"/>
          <w:lang w:val="en-GB"/>
        </w:rPr>
        <w:t>. We also find that students and employees are more likely in cluster 4, whereas other respondents are more likely in cluster 5 (</w:t>
      </w:r>
      <w:r w:rsidR="00A4165E" w:rsidRPr="00800E54">
        <w:rPr>
          <w:rFonts w:ascii="Times New Roman" w:eastAsia="MS PGothic" w:hAnsi="Times New Roman"/>
          <w:kern w:val="0"/>
          <w:sz w:val="24"/>
          <w:lang w:val="en-GB"/>
        </w:rPr>
        <w:t>n</w:t>
      </w:r>
      <w:r w:rsidR="00ED3964" w:rsidRPr="00800E54">
        <w:rPr>
          <w:rFonts w:ascii="Times New Roman" w:eastAsia="MS PGothic" w:hAnsi="Times New Roman"/>
          <w:kern w:val="0"/>
          <w:sz w:val="24"/>
          <w:lang w:val="en-GB"/>
        </w:rPr>
        <w:t>ote also that age and occupation are obviously quite strongly correlated)</w:t>
      </w:r>
      <w:r w:rsidR="00A4165E" w:rsidRPr="00800E54">
        <w:rPr>
          <w:rFonts w:ascii="Times New Roman" w:eastAsia="MS PGothic" w:hAnsi="Times New Roman"/>
          <w:kern w:val="0"/>
          <w:sz w:val="24"/>
          <w:lang w:val="en-GB"/>
        </w:rPr>
        <w:t>.</w:t>
      </w:r>
      <w:r w:rsidR="00ED3964" w:rsidRPr="00800E54">
        <w:rPr>
          <w:rFonts w:ascii="Times New Roman" w:eastAsia="MS PGothic" w:hAnsi="Times New Roman"/>
          <w:kern w:val="0"/>
          <w:sz w:val="24"/>
          <w:lang w:val="en-GB"/>
        </w:rPr>
        <w:t xml:space="preserve"> We further find that people experiencing extreme levels of travel time unreliability (</w:t>
      </w:r>
      <w:r w:rsidR="00A4165E" w:rsidRPr="00800E54">
        <w:rPr>
          <w:rFonts w:ascii="Times New Roman" w:eastAsia="MS PGothic" w:hAnsi="Times New Roman"/>
          <w:kern w:val="0"/>
          <w:sz w:val="24"/>
          <w:lang w:val="en-GB"/>
        </w:rPr>
        <w:t>i.e. either they do not perceive variation of travel times</w:t>
      </w:r>
      <w:r w:rsidR="00DA6F69" w:rsidRPr="00800E54">
        <w:rPr>
          <w:rFonts w:ascii="Times New Roman" w:eastAsia="MS PGothic" w:hAnsi="Times New Roman"/>
          <w:kern w:val="0"/>
          <w:sz w:val="24"/>
          <w:lang w:val="en-GB"/>
        </w:rPr>
        <w:t>,</w:t>
      </w:r>
      <w:r w:rsidR="00A4165E" w:rsidRPr="00800E54">
        <w:rPr>
          <w:rFonts w:ascii="Times New Roman" w:eastAsia="MS PGothic" w:hAnsi="Times New Roman"/>
          <w:kern w:val="0"/>
          <w:sz w:val="24"/>
          <w:lang w:val="en-GB"/>
        </w:rPr>
        <w:t xml:space="preserve"> or </w:t>
      </w:r>
      <w:r w:rsidR="00DA6F69" w:rsidRPr="00800E54">
        <w:rPr>
          <w:rFonts w:ascii="Times New Roman" w:eastAsia="MS PGothic" w:hAnsi="Times New Roman"/>
          <w:kern w:val="0"/>
          <w:sz w:val="24"/>
          <w:lang w:val="en-GB"/>
        </w:rPr>
        <w:t>they face</w:t>
      </w:r>
      <w:r w:rsidR="00A4165E" w:rsidRPr="00800E54">
        <w:rPr>
          <w:rFonts w:ascii="Times New Roman" w:eastAsia="MS PGothic" w:hAnsi="Times New Roman"/>
          <w:kern w:val="0"/>
          <w:sz w:val="24"/>
          <w:lang w:val="en-GB"/>
        </w:rPr>
        <w:t xml:space="preserve"> </w:t>
      </w:r>
      <w:r w:rsidR="00DA6F69" w:rsidRPr="00800E54">
        <w:rPr>
          <w:rFonts w:ascii="Times New Roman" w:eastAsia="MS PGothic" w:hAnsi="Times New Roman"/>
          <w:kern w:val="0"/>
          <w:sz w:val="24"/>
          <w:lang w:val="en-GB"/>
        </w:rPr>
        <w:t>high relative variations of travel times – see the definition of reliability we use here at the bottom of table 6</w:t>
      </w:r>
      <w:r w:rsidR="00ED3964" w:rsidRPr="00800E54">
        <w:rPr>
          <w:rFonts w:ascii="Times New Roman" w:eastAsia="MS PGothic" w:hAnsi="Times New Roman"/>
          <w:kern w:val="0"/>
          <w:sz w:val="24"/>
          <w:lang w:val="en-GB"/>
        </w:rPr>
        <w:t xml:space="preserve">) tend to be “shortest path resolute” whereas </w:t>
      </w:r>
      <w:r w:rsidR="0090475E" w:rsidRPr="00800E54">
        <w:rPr>
          <w:rFonts w:ascii="Times New Roman" w:eastAsia="MS PGothic" w:hAnsi="Times New Roman"/>
          <w:kern w:val="0"/>
          <w:sz w:val="24"/>
          <w:lang w:val="en-GB"/>
        </w:rPr>
        <w:t>those experiencing intermediate levels of travel time reliability are more likely to adopt cluster 4 behaviour.</w:t>
      </w:r>
    </w:p>
    <w:p w:rsidR="00AC7665" w:rsidRPr="00800E54" w:rsidRDefault="00AC7665" w:rsidP="001B46BD">
      <w:pPr>
        <w:widowControl/>
        <w:ind w:firstLineChars="250" w:firstLine="600"/>
        <w:rPr>
          <w:rFonts w:ascii="Times New Roman" w:eastAsia="MS PGothic" w:hAnsi="Times New Roman"/>
          <w:kern w:val="0"/>
          <w:sz w:val="24"/>
          <w:lang w:val="en-GB"/>
        </w:rPr>
      </w:pPr>
      <w:r w:rsidRPr="00800E54">
        <w:rPr>
          <w:rFonts w:ascii="Times New Roman" w:eastAsia="MS PGothic" w:hAnsi="Times New Roman"/>
          <w:kern w:val="0"/>
          <w:sz w:val="24"/>
          <w:lang w:val="en-GB"/>
        </w:rPr>
        <w:t xml:space="preserve">Demand clusters do not show significant association with the replies to single SP questions apart from Q34. In this case the cluster of “Commuting trips of very experienced travellers” has </w:t>
      </w:r>
      <w:r w:rsidR="00421D59" w:rsidRPr="00800E54">
        <w:rPr>
          <w:rFonts w:ascii="Times New Roman" w:eastAsia="MS PGothic" w:hAnsi="Times New Roman"/>
          <w:kern w:val="0"/>
          <w:sz w:val="24"/>
          <w:lang w:val="en-GB"/>
        </w:rPr>
        <w:t xml:space="preserve">a </w:t>
      </w:r>
      <w:r w:rsidRPr="00800E54">
        <w:rPr>
          <w:rFonts w:ascii="Times New Roman" w:eastAsia="MS PGothic" w:hAnsi="Times New Roman"/>
          <w:kern w:val="0"/>
          <w:sz w:val="24"/>
          <w:lang w:val="en-GB"/>
        </w:rPr>
        <w:t>higher preference for the shortest single path option</w:t>
      </w:r>
      <w:r w:rsidR="00DD5EB1" w:rsidRPr="00800E54">
        <w:rPr>
          <w:rFonts w:ascii="Times New Roman" w:eastAsia="MS PGothic" w:hAnsi="Times New Roman"/>
          <w:kern w:val="0"/>
          <w:sz w:val="24"/>
          <w:lang w:val="en-GB"/>
        </w:rPr>
        <w:t xml:space="preserve"> (chosen by 33.1% of cluster 1 respondents)</w:t>
      </w:r>
      <w:r w:rsidRPr="00800E54">
        <w:rPr>
          <w:rFonts w:ascii="Times New Roman" w:eastAsia="MS PGothic" w:hAnsi="Times New Roman"/>
          <w:kern w:val="0"/>
          <w:sz w:val="24"/>
          <w:lang w:val="en-GB"/>
        </w:rPr>
        <w:t xml:space="preserve"> than the cluster of the “Trips for other purposes”</w:t>
      </w:r>
      <w:r w:rsidR="00DD5EB1" w:rsidRPr="00800E54">
        <w:rPr>
          <w:rFonts w:ascii="Times New Roman" w:eastAsia="MS PGothic" w:hAnsi="Times New Roman"/>
          <w:kern w:val="0"/>
          <w:sz w:val="24"/>
          <w:lang w:val="en-GB"/>
        </w:rPr>
        <w:t xml:space="preserve"> (23.9%)</w:t>
      </w:r>
      <w:r w:rsidRPr="00800E54">
        <w:rPr>
          <w:rFonts w:ascii="Times New Roman" w:eastAsia="MS PGothic" w:hAnsi="Times New Roman"/>
          <w:kern w:val="0"/>
          <w:sz w:val="24"/>
          <w:lang w:val="en-GB"/>
        </w:rPr>
        <w:t>. The same behaviour occurs also for Q33, though to a lesser degree</w:t>
      </w:r>
      <w:r w:rsidR="00DD5EB1" w:rsidRPr="00800E54">
        <w:rPr>
          <w:rFonts w:ascii="Times New Roman" w:eastAsia="MS PGothic" w:hAnsi="Times New Roman"/>
          <w:kern w:val="0"/>
          <w:sz w:val="24"/>
          <w:lang w:val="en-GB"/>
        </w:rPr>
        <w:t xml:space="preserve"> (the p-value of the difference of the distributions is 10%)</w:t>
      </w:r>
      <w:r w:rsidRPr="00800E54">
        <w:rPr>
          <w:rFonts w:ascii="Times New Roman" w:eastAsia="MS PGothic" w:hAnsi="Times New Roman"/>
          <w:kern w:val="0"/>
          <w:sz w:val="24"/>
          <w:lang w:val="en-GB"/>
        </w:rPr>
        <w:t>.</w:t>
      </w:r>
      <w:r w:rsidR="00CB3E61" w:rsidRPr="00800E54">
        <w:rPr>
          <w:rFonts w:ascii="Times New Roman" w:eastAsia="MS PGothic" w:hAnsi="Times New Roman"/>
          <w:kern w:val="0"/>
          <w:sz w:val="24"/>
          <w:lang w:val="en-GB"/>
        </w:rPr>
        <w:t xml:space="preserve"> </w:t>
      </w:r>
      <w:r w:rsidR="006E74FE" w:rsidRPr="00800E54">
        <w:rPr>
          <w:rFonts w:ascii="Times New Roman" w:eastAsia="MS PGothic" w:hAnsi="Times New Roman"/>
          <w:kern w:val="0"/>
          <w:sz w:val="24"/>
          <w:lang w:val="en-GB"/>
        </w:rPr>
        <w:t>This may confirm that</w:t>
      </w:r>
      <w:r w:rsidR="000F5205" w:rsidRPr="00800E54">
        <w:rPr>
          <w:rFonts w:ascii="Times New Roman" w:eastAsia="MS PGothic" w:hAnsi="Times New Roman"/>
          <w:kern w:val="0"/>
          <w:sz w:val="24"/>
          <w:lang w:val="en-GB"/>
        </w:rPr>
        <w:t xml:space="preserve"> </w:t>
      </w:r>
      <w:r w:rsidR="00CB3E61" w:rsidRPr="00800E54">
        <w:rPr>
          <w:rFonts w:ascii="Times New Roman" w:eastAsia="MS PGothic" w:hAnsi="Times New Roman"/>
          <w:kern w:val="0"/>
          <w:sz w:val="24"/>
          <w:lang w:val="en-GB"/>
        </w:rPr>
        <w:t xml:space="preserve">the </w:t>
      </w:r>
      <w:r w:rsidR="000F5205" w:rsidRPr="00800E54">
        <w:rPr>
          <w:rFonts w:ascii="Times New Roman" w:eastAsia="MS PGothic" w:hAnsi="Times New Roman"/>
          <w:kern w:val="0"/>
          <w:sz w:val="24"/>
          <w:lang w:val="en-GB"/>
        </w:rPr>
        <w:t>experience of PT usage</w:t>
      </w:r>
      <w:r w:rsidR="006E74FE" w:rsidRPr="00800E54">
        <w:rPr>
          <w:rFonts w:ascii="Times New Roman" w:eastAsia="MS PGothic" w:hAnsi="Times New Roman"/>
          <w:kern w:val="0"/>
          <w:sz w:val="24"/>
          <w:lang w:val="en-GB"/>
        </w:rPr>
        <w:t xml:space="preserve"> </w:t>
      </w:r>
      <w:r w:rsidR="000F5205" w:rsidRPr="00800E54">
        <w:rPr>
          <w:rFonts w:ascii="Times New Roman" w:eastAsia="MS PGothic" w:hAnsi="Times New Roman"/>
          <w:kern w:val="0"/>
          <w:sz w:val="24"/>
          <w:lang w:val="en-GB"/>
        </w:rPr>
        <w:t>“shrinks” the</w:t>
      </w:r>
      <w:r w:rsidR="006E74FE" w:rsidRPr="00800E54">
        <w:rPr>
          <w:rFonts w:ascii="Times New Roman" w:eastAsia="MS PGothic" w:hAnsi="Times New Roman"/>
          <w:kern w:val="0"/>
          <w:sz w:val="24"/>
          <w:lang w:val="en-GB"/>
        </w:rPr>
        <w:t xml:space="preserve"> attractive sets</w:t>
      </w:r>
      <w:r w:rsidR="000F5205" w:rsidRPr="00800E54">
        <w:rPr>
          <w:rFonts w:ascii="Times New Roman" w:eastAsia="MS PGothic" w:hAnsi="Times New Roman"/>
          <w:kern w:val="0"/>
          <w:sz w:val="24"/>
          <w:lang w:val="en-GB"/>
        </w:rPr>
        <w:t xml:space="preserve">, even when </w:t>
      </w:r>
      <w:r w:rsidR="006E74FE" w:rsidRPr="00800E54">
        <w:rPr>
          <w:rFonts w:ascii="Times New Roman" w:eastAsia="MS PGothic" w:hAnsi="Times New Roman"/>
          <w:kern w:val="0"/>
          <w:sz w:val="24"/>
          <w:lang w:val="en-GB"/>
        </w:rPr>
        <w:t xml:space="preserve">the experience </w:t>
      </w:r>
      <w:r w:rsidR="000F5205" w:rsidRPr="00800E54">
        <w:rPr>
          <w:rFonts w:ascii="Times New Roman" w:eastAsia="MS PGothic" w:hAnsi="Times New Roman"/>
          <w:kern w:val="0"/>
          <w:sz w:val="24"/>
          <w:lang w:val="en-GB"/>
        </w:rPr>
        <w:t>does not concern the decision environment as in the case of the SP experiments</w:t>
      </w:r>
      <w:r w:rsidR="006E74FE" w:rsidRPr="00800E54">
        <w:rPr>
          <w:rFonts w:ascii="Times New Roman" w:eastAsia="MS PGothic" w:hAnsi="Times New Roman"/>
          <w:kern w:val="0"/>
          <w:sz w:val="24"/>
          <w:lang w:val="en-GB"/>
        </w:rPr>
        <w:t>.</w:t>
      </w:r>
    </w:p>
    <w:p w:rsidR="00AC7665" w:rsidRPr="00800E54" w:rsidRDefault="00AC7665" w:rsidP="00AC7665">
      <w:pPr>
        <w:widowControl/>
        <w:rPr>
          <w:rFonts w:ascii="Times New Roman" w:eastAsia="MS PGothic" w:hAnsi="Times New Roman"/>
          <w:kern w:val="0"/>
          <w:sz w:val="24"/>
          <w:lang w:val="en-GB"/>
        </w:rPr>
      </w:pPr>
    </w:p>
    <w:p w:rsidR="00AC7665" w:rsidRPr="00800E54" w:rsidRDefault="00AC7665" w:rsidP="00724947">
      <w:pPr>
        <w:widowControl/>
        <w:rPr>
          <w:rFonts w:ascii="Times New Roman" w:eastAsia="MS PGothic" w:hAnsi="Times New Roman"/>
          <w:kern w:val="0"/>
          <w:sz w:val="24"/>
          <w:lang w:val="en-GB"/>
        </w:rPr>
      </w:pPr>
    </w:p>
    <w:p w:rsidR="001B46BD" w:rsidRPr="00800E54" w:rsidRDefault="001B46BD" w:rsidP="00724947">
      <w:pPr>
        <w:widowControl/>
        <w:rPr>
          <w:rFonts w:ascii="Times New Roman" w:eastAsia="MS PGothic" w:hAnsi="Times New Roman"/>
          <w:kern w:val="0"/>
          <w:sz w:val="24"/>
          <w:lang w:val="en-GB"/>
        </w:rPr>
      </w:pPr>
    </w:p>
    <w:p w:rsidR="00724947" w:rsidRPr="00800E54" w:rsidRDefault="00DF13AE" w:rsidP="00724947">
      <w:pPr>
        <w:rPr>
          <w:rFonts w:ascii="Times New Roman" w:hAnsi="Times New Roman"/>
          <w:b/>
          <w:sz w:val="24"/>
          <w:lang w:val="en-GB"/>
        </w:rPr>
      </w:pPr>
      <w:r w:rsidRPr="00800E54">
        <w:rPr>
          <w:rFonts w:ascii="Times New Roman" w:hAnsi="Times New Roman"/>
          <w:b/>
          <w:sz w:val="24"/>
          <w:lang w:val="en-GB"/>
        </w:rPr>
        <w:lastRenderedPageBreak/>
        <w:t>5.</w:t>
      </w:r>
      <w:r w:rsidR="0059222F" w:rsidRPr="00800E54">
        <w:rPr>
          <w:rFonts w:ascii="Times New Roman" w:hAnsi="Times New Roman"/>
          <w:b/>
          <w:sz w:val="24"/>
          <w:lang w:val="en-GB"/>
        </w:rPr>
        <w:t xml:space="preserve"> </w:t>
      </w:r>
      <w:r w:rsidR="00AC7665" w:rsidRPr="00800E54">
        <w:rPr>
          <w:rFonts w:ascii="Times New Roman" w:hAnsi="Times New Roman"/>
          <w:b/>
          <w:sz w:val="24"/>
          <w:lang w:val="en-GB"/>
        </w:rPr>
        <w:t>CONCLUSION</w:t>
      </w:r>
    </w:p>
    <w:p w:rsidR="0059222F" w:rsidRPr="00800E54" w:rsidRDefault="0059222F" w:rsidP="00724947">
      <w:pPr>
        <w:rPr>
          <w:rFonts w:ascii="Times New Roman" w:hAnsi="Times New Roman"/>
          <w:sz w:val="24"/>
          <w:lang w:val="en-GB"/>
        </w:rPr>
      </w:pPr>
    </w:p>
    <w:p w:rsidR="00AC7665" w:rsidRPr="00800E54" w:rsidRDefault="00AC7665" w:rsidP="00AC7665">
      <w:pPr>
        <w:ind w:firstLine="567"/>
        <w:rPr>
          <w:rFonts w:ascii="Times New Roman" w:hAnsi="Times New Roman"/>
          <w:sz w:val="24"/>
          <w:lang w:val="en-GB"/>
        </w:rPr>
      </w:pPr>
      <w:r w:rsidRPr="00800E54">
        <w:rPr>
          <w:rFonts w:ascii="Times New Roman" w:hAnsi="Times New Roman"/>
          <w:sz w:val="24"/>
          <w:lang w:val="en-GB"/>
        </w:rPr>
        <w:t xml:space="preserve">The basis for service quality improvements </w:t>
      </w:r>
      <w:r w:rsidR="00421D59" w:rsidRPr="00800E54">
        <w:rPr>
          <w:rFonts w:ascii="Times New Roman" w:hAnsi="Times New Roman"/>
          <w:sz w:val="24"/>
          <w:lang w:val="en-GB"/>
        </w:rPr>
        <w:t xml:space="preserve">are </w:t>
      </w:r>
      <w:r w:rsidRPr="00800E54">
        <w:rPr>
          <w:rFonts w:ascii="Times New Roman" w:hAnsi="Times New Roman"/>
          <w:sz w:val="24"/>
          <w:lang w:val="en-GB"/>
        </w:rPr>
        <w:t xml:space="preserve">often transit assignment models for which an understanding of passengers’ route choice behaviour is necessary. Though the strategy approach of Spiess and Florian (1989) appears intuitive (with some limitations discussed in Nökel and Wekeck (2009)) and simple for assignment </w:t>
      </w:r>
      <w:r w:rsidR="001E4156" w:rsidRPr="00800E54">
        <w:rPr>
          <w:rFonts w:ascii="Times New Roman" w:hAnsi="Times New Roman"/>
          <w:sz w:val="24"/>
          <w:lang w:val="en-GB"/>
        </w:rPr>
        <w:t>problems</w:t>
      </w:r>
      <w:r w:rsidRPr="00800E54">
        <w:rPr>
          <w:rFonts w:ascii="Times New Roman" w:hAnsi="Times New Roman"/>
          <w:sz w:val="24"/>
          <w:lang w:val="en-GB"/>
        </w:rPr>
        <w:t>, its validity has not been much investigated with experiments, survey data or observed data. The findings of Kurauchi et al (2012) suggest that socio-demographic attributes and trip characteristics influence the relative value of waiting time and transfer compared to on-board time. In this paper we advance this analysis by cluster analysis suggesting that some user groups per se appear to prefer complex or simple hyperpaths</w:t>
      </w:r>
      <w:r w:rsidR="001340A4" w:rsidRPr="00800E54">
        <w:rPr>
          <w:rFonts w:ascii="Times New Roman" w:hAnsi="Times New Roman"/>
          <w:sz w:val="24"/>
          <w:lang w:val="en-GB"/>
        </w:rPr>
        <w:t>. The preferences may</w:t>
      </w:r>
      <w:r w:rsidR="00CB3E61" w:rsidRPr="00800E54">
        <w:rPr>
          <w:rFonts w:ascii="Times New Roman" w:hAnsi="Times New Roman"/>
          <w:sz w:val="24"/>
          <w:lang w:val="en-GB"/>
        </w:rPr>
        <w:t xml:space="preserve"> vary from country to country, </w:t>
      </w:r>
      <w:r w:rsidR="001340A4" w:rsidRPr="00800E54">
        <w:rPr>
          <w:rFonts w:ascii="Times New Roman" w:hAnsi="Times New Roman"/>
          <w:sz w:val="24"/>
          <w:lang w:val="en-GB"/>
        </w:rPr>
        <w:t>e.</w:t>
      </w:r>
      <w:r w:rsidR="00CB3E61" w:rsidRPr="00800E54">
        <w:rPr>
          <w:rFonts w:ascii="Times New Roman" w:hAnsi="Times New Roman"/>
          <w:sz w:val="24"/>
          <w:lang w:val="en-GB"/>
        </w:rPr>
        <w:t>g.</w:t>
      </w:r>
      <w:r w:rsidR="001340A4" w:rsidRPr="00800E54">
        <w:rPr>
          <w:rFonts w:ascii="Times New Roman" w:hAnsi="Times New Roman"/>
          <w:sz w:val="24"/>
          <w:lang w:val="en-GB"/>
        </w:rPr>
        <w:t xml:space="preserve"> there </w:t>
      </w:r>
      <w:r w:rsidR="00421D59" w:rsidRPr="00800E54">
        <w:rPr>
          <w:rFonts w:ascii="Times New Roman" w:hAnsi="Times New Roman"/>
          <w:sz w:val="24"/>
          <w:lang w:val="en-GB"/>
        </w:rPr>
        <w:t>is</w:t>
      </w:r>
      <w:r w:rsidR="001340A4" w:rsidRPr="00800E54">
        <w:rPr>
          <w:rFonts w:ascii="Times New Roman" w:hAnsi="Times New Roman"/>
          <w:sz w:val="24"/>
          <w:lang w:val="en-GB"/>
        </w:rPr>
        <w:t xml:space="preserve"> (non-conclusive) evidence that Chinese PT users do not like complex strategies. This would challenge the currently widely diffuse practice of using the same model</w:t>
      </w:r>
      <w:r w:rsidR="00C63A9D">
        <w:rPr>
          <w:rFonts w:ascii="Times New Roman" w:hAnsi="Times New Roman" w:hint="eastAsia"/>
          <w:sz w:val="24"/>
          <w:lang w:val="en-GB"/>
        </w:rPr>
        <w:t>l</w:t>
      </w:r>
      <w:r w:rsidR="001340A4" w:rsidRPr="00800E54">
        <w:rPr>
          <w:rFonts w:ascii="Times New Roman" w:hAnsi="Times New Roman"/>
          <w:sz w:val="24"/>
          <w:lang w:val="en-GB"/>
        </w:rPr>
        <w:t>ing framework in different geographic context changing only the value of</w:t>
      </w:r>
      <w:r w:rsidR="00CB3E61" w:rsidRPr="00800E54">
        <w:rPr>
          <w:rFonts w:ascii="Times New Roman" w:hAnsi="Times New Roman"/>
          <w:sz w:val="24"/>
          <w:lang w:val="en-GB"/>
        </w:rPr>
        <w:t xml:space="preserve"> the</w:t>
      </w:r>
      <w:r w:rsidR="001340A4" w:rsidRPr="00800E54">
        <w:rPr>
          <w:rFonts w:ascii="Times New Roman" w:hAnsi="Times New Roman"/>
          <w:sz w:val="24"/>
          <w:lang w:val="en-GB"/>
        </w:rPr>
        <w:t xml:space="preserve"> </w:t>
      </w:r>
      <w:r w:rsidR="00CB3E61" w:rsidRPr="00800E54">
        <w:rPr>
          <w:rFonts w:ascii="Times New Roman" w:hAnsi="Times New Roman"/>
          <w:sz w:val="24"/>
          <w:lang w:val="en-GB"/>
        </w:rPr>
        <w:t xml:space="preserve">model </w:t>
      </w:r>
      <w:r w:rsidR="001340A4" w:rsidRPr="00800E54">
        <w:rPr>
          <w:rFonts w:ascii="Times New Roman" w:hAnsi="Times New Roman"/>
          <w:sz w:val="24"/>
          <w:lang w:val="en-GB"/>
        </w:rPr>
        <w:t xml:space="preserve">parameters. </w:t>
      </w:r>
      <w:r w:rsidRPr="00800E54">
        <w:rPr>
          <w:rFonts w:ascii="Times New Roman" w:hAnsi="Times New Roman"/>
          <w:sz w:val="24"/>
          <w:lang w:val="en-GB"/>
        </w:rPr>
        <w:t xml:space="preserve">In line with the </w:t>
      </w:r>
      <w:r w:rsidR="00087C3C" w:rsidRPr="00800E54">
        <w:rPr>
          <w:rFonts w:ascii="Times New Roman" w:hAnsi="Times New Roman"/>
          <w:sz w:val="24"/>
          <w:lang w:val="en-GB"/>
        </w:rPr>
        <w:t xml:space="preserve">results </w:t>
      </w:r>
      <w:r w:rsidRPr="00800E54">
        <w:rPr>
          <w:rFonts w:ascii="Times New Roman" w:hAnsi="Times New Roman"/>
          <w:sz w:val="24"/>
          <w:lang w:val="en-GB"/>
        </w:rPr>
        <w:t>of the discrete choice analysis we find through our cluster analysis that service reliability influences the hyperpath choice and choice flexibility. Those experiencing services</w:t>
      </w:r>
      <w:r w:rsidR="000F5205" w:rsidRPr="00800E54">
        <w:rPr>
          <w:rFonts w:ascii="Times New Roman" w:hAnsi="Times New Roman"/>
          <w:sz w:val="24"/>
          <w:lang w:val="en-GB"/>
        </w:rPr>
        <w:t xml:space="preserve"> with intermediate levels of reliability</w:t>
      </w:r>
      <w:r w:rsidRPr="00800E54">
        <w:rPr>
          <w:rFonts w:ascii="Times New Roman" w:hAnsi="Times New Roman"/>
          <w:sz w:val="24"/>
          <w:lang w:val="en-GB"/>
        </w:rPr>
        <w:t xml:space="preserve"> appear to be more flexible and apply more often complex strategies. For transit models this is to some degree “bad news”, as it means that </w:t>
      </w:r>
      <w:r w:rsidR="00421D59" w:rsidRPr="00800E54">
        <w:rPr>
          <w:rFonts w:ascii="Times New Roman" w:hAnsi="Times New Roman"/>
          <w:sz w:val="24"/>
          <w:lang w:val="en-GB"/>
        </w:rPr>
        <w:t>the behavioural</w:t>
      </w:r>
      <w:r w:rsidR="00B05932" w:rsidRPr="00800E54">
        <w:rPr>
          <w:rFonts w:ascii="Times New Roman" w:hAnsi="Times New Roman"/>
          <w:sz w:val="24"/>
          <w:lang w:val="en-GB"/>
        </w:rPr>
        <w:t xml:space="preserve"> </w:t>
      </w:r>
      <w:r w:rsidR="00421D59" w:rsidRPr="00800E54">
        <w:rPr>
          <w:rFonts w:ascii="Times New Roman" w:hAnsi="Times New Roman"/>
          <w:sz w:val="24"/>
          <w:lang w:val="en-GB"/>
        </w:rPr>
        <w:t>sub</w:t>
      </w:r>
      <w:r w:rsidR="00C63A9D">
        <w:rPr>
          <w:rFonts w:ascii="Times New Roman" w:hAnsi="Times New Roman" w:hint="eastAsia"/>
          <w:sz w:val="24"/>
          <w:lang w:val="en-GB"/>
        </w:rPr>
        <w:t>-</w:t>
      </w:r>
      <w:r w:rsidR="00421D59" w:rsidRPr="00800E54">
        <w:rPr>
          <w:rFonts w:ascii="Times New Roman" w:hAnsi="Times New Roman"/>
          <w:sz w:val="24"/>
          <w:lang w:val="en-GB"/>
        </w:rPr>
        <w:t>model</w:t>
      </w:r>
      <w:r w:rsidR="00B05932" w:rsidRPr="00800E54">
        <w:rPr>
          <w:rFonts w:ascii="Times New Roman" w:hAnsi="Times New Roman"/>
          <w:sz w:val="24"/>
          <w:lang w:val="en-GB"/>
        </w:rPr>
        <w:t xml:space="preserve"> </w:t>
      </w:r>
      <w:r w:rsidRPr="00800E54">
        <w:rPr>
          <w:rFonts w:ascii="Times New Roman" w:hAnsi="Times New Roman"/>
          <w:sz w:val="24"/>
          <w:lang w:val="en-GB"/>
        </w:rPr>
        <w:t xml:space="preserve">should, ideally, </w:t>
      </w:r>
      <w:r w:rsidR="00B05932" w:rsidRPr="00800E54">
        <w:rPr>
          <w:rFonts w:ascii="Times New Roman" w:hAnsi="Times New Roman"/>
          <w:sz w:val="24"/>
          <w:lang w:val="en-GB"/>
        </w:rPr>
        <w:t xml:space="preserve">change in time and in space </w:t>
      </w:r>
      <w:r w:rsidR="00421D59" w:rsidRPr="00800E54">
        <w:rPr>
          <w:rFonts w:ascii="Times New Roman" w:hAnsi="Times New Roman"/>
          <w:sz w:val="24"/>
          <w:lang w:val="en-GB"/>
        </w:rPr>
        <w:t>in line with changes of service</w:t>
      </w:r>
      <w:r w:rsidR="00B05932" w:rsidRPr="00800E54">
        <w:rPr>
          <w:rFonts w:ascii="Times New Roman" w:hAnsi="Times New Roman"/>
          <w:sz w:val="24"/>
          <w:lang w:val="en-GB"/>
        </w:rPr>
        <w:t xml:space="preserve"> reliability</w:t>
      </w:r>
      <w:r w:rsidRPr="00800E54">
        <w:rPr>
          <w:rFonts w:ascii="Times New Roman" w:hAnsi="Times New Roman"/>
          <w:sz w:val="24"/>
          <w:lang w:val="en-GB"/>
        </w:rPr>
        <w:t xml:space="preserve">. Furthermore, we find that age and occupation influence the hyperpath choice. Students choose less often complex hyperpaths, which Kurauchi et al. (2012a) explain with a lower value of waiting time. The implication of this is that the weight of values of waiting time and transfer penalties should depend on age and occupation. </w:t>
      </w:r>
    </w:p>
    <w:p w:rsidR="00AC7665" w:rsidRPr="00800E54" w:rsidRDefault="00AC7665" w:rsidP="00AC7665">
      <w:pPr>
        <w:ind w:firstLine="567"/>
        <w:rPr>
          <w:rFonts w:ascii="Times New Roman" w:hAnsi="Times New Roman"/>
          <w:sz w:val="24"/>
          <w:lang w:val="en-GB"/>
        </w:rPr>
      </w:pPr>
      <w:r w:rsidRPr="00800E54">
        <w:rPr>
          <w:rFonts w:ascii="Times New Roman" w:hAnsi="Times New Roman"/>
          <w:sz w:val="24"/>
          <w:lang w:val="en-GB"/>
        </w:rPr>
        <w:t>A problem of asking respondents which strategy they would choose in hypothetical choice scenarios clearly is the level of abstraction from their daily experiences. We therefore included in our survey some additional questions regarding their choice flexibility on their most frequent transit trip. The</w:t>
      </w:r>
      <w:r w:rsidR="00D13CC4" w:rsidRPr="00800E54">
        <w:rPr>
          <w:rFonts w:ascii="Times New Roman" w:hAnsi="Times New Roman"/>
          <w:sz w:val="24"/>
          <w:lang w:val="en-GB"/>
        </w:rPr>
        <w:t xml:space="preserve"> responses to these questions </w:t>
      </w:r>
      <w:r w:rsidRPr="00800E54">
        <w:rPr>
          <w:rFonts w:ascii="Times New Roman" w:hAnsi="Times New Roman"/>
          <w:sz w:val="24"/>
          <w:lang w:val="en-GB"/>
        </w:rPr>
        <w:t xml:space="preserve">suggest that our scenario observations might overestimate choice flexibility. Habits might play a more important role than assumed in models or many users might not “optimise” their route choice in terms of total travel time if they could gain only a few minutes. </w:t>
      </w:r>
      <w:r w:rsidR="00AB11D6" w:rsidRPr="00800E54">
        <w:rPr>
          <w:rFonts w:ascii="Times New Roman" w:hAnsi="Times New Roman"/>
          <w:sz w:val="24"/>
          <w:lang w:val="en-GB"/>
        </w:rPr>
        <w:t>T</w:t>
      </w:r>
      <w:r w:rsidRPr="00800E54">
        <w:rPr>
          <w:rFonts w:ascii="Times New Roman" w:hAnsi="Times New Roman"/>
          <w:sz w:val="24"/>
          <w:lang w:val="en-GB"/>
        </w:rPr>
        <w:t xml:space="preserve">his could suggest that threshold models are appropriate for transit assignment where passengers stick to a single shortest route unless a different route is significantly better or unless a fairly major disruption appears. A second important finding from our questions on daily behaviour is that passengers appear to be as flexible in their stop and transfer point choice as in their line choice. This has direct implications for transit assignment models as in most cases the hyperpath choice is limited to line choice only. </w:t>
      </w:r>
    </w:p>
    <w:p w:rsidR="00724947" w:rsidRPr="00800E54" w:rsidRDefault="00AC7665" w:rsidP="00AC7665">
      <w:pPr>
        <w:ind w:firstLine="567"/>
        <w:rPr>
          <w:rFonts w:ascii="Times New Roman" w:hAnsi="Times New Roman"/>
          <w:sz w:val="24"/>
          <w:lang w:val="en-GB"/>
        </w:rPr>
      </w:pPr>
      <w:r w:rsidRPr="00800E54">
        <w:rPr>
          <w:rFonts w:ascii="Times New Roman" w:hAnsi="Times New Roman"/>
          <w:sz w:val="24"/>
          <w:lang w:val="en-GB"/>
        </w:rPr>
        <w:t>In further work our findings should be confirmed with an extended survey reducing the biases in our sample towards young, highly educated males. Our findings further might suggest that our hypothetical scenarios are partly to abstract for some respondents. Time-series smart card data that include data on line choice as well as boarding and alighting points could be a way to advance the analysis. Kurauchi et al. (2012b)</w:t>
      </w:r>
      <w:r w:rsidR="006E39C1" w:rsidRPr="00800E54">
        <w:rPr>
          <w:rFonts w:ascii="Times New Roman" w:hAnsi="Times New Roman"/>
          <w:sz w:val="24"/>
          <w:lang w:val="en-GB"/>
        </w:rPr>
        <w:t xml:space="preserve"> </w:t>
      </w:r>
      <w:r w:rsidRPr="00800E54">
        <w:rPr>
          <w:rFonts w:ascii="Times New Roman" w:hAnsi="Times New Roman"/>
          <w:sz w:val="24"/>
          <w:lang w:val="en-GB"/>
        </w:rPr>
        <w:t xml:space="preserve">discuss an approach for this with an analysis of </w:t>
      </w:r>
      <w:r w:rsidR="006E39C1" w:rsidRPr="00800E54">
        <w:rPr>
          <w:rFonts w:ascii="Times New Roman" w:hAnsi="Times New Roman"/>
          <w:sz w:val="24"/>
          <w:lang w:val="en-GB"/>
        </w:rPr>
        <w:t xml:space="preserve">London smart </w:t>
      </w:r>
      <w:r w:rsidRPr="00800E54">
        <w:rPr>
          <w:rFonts w:ascii="Times New Roman" w:hAnsi="Times New Roman"/>
          <w:sz w:val="24"/>
          <w:lang w:val="en-GB"/>
        </w:rPr>
        <w:t>card data.</w:t>
      </w:r>
      <w:r w:rsidR="006E39C1" w:rsidRPr="00800E54">
        <w:rPr>
          <w:rFonts w:ascii="Times New Roman" w:hAnsi="Times New Roman"/>
          <w:sz w:val="24"/>
          <w:lang w:val="en-GB"/>
        </w:rPr>
        <w:t xml:space="preserve"> Schmöcker et al (2013) use Japanese smart card data and, partly as a result of </w:t>
      </w:r>
      <w:r w:rsidR="000B6F1F" w:rsidRPr="00800E54">
        <w:rPr>
          <w:rFonts w:ascii="Times New Roman" w:hAnsi="Times New Roman"/>
          <w:sz w:val="24"/>
          <w:lang w:val="en-GB"/>
        </w:rPr>
        <w:t xml:space="preserve">the Kurauchi et al study as well </w:t>
      </w:r>
      <w:r w:rsidR="006E39C1" w:rsidRPr="00800E54">
        <w:rPr>
          <w:rFonts w:ascii="Times New Roman" w:hAnsi="Times New Roman"/>
          <w:sz w:val="24"/>
          <w:lang w:val="en-GB"/>
        </w:rPr>
        <w:t>th</w:t>
      </w:r>
      <w:r w:rsidR="000B6F1F" w:rsidRPr="00800E54">
        <w:rPr>
          <w:rFonts w:ascii="Times New Roman" w:hAnsi="Times New Roman"/>
          <w:sz w:val="24"/>
          <w:lang w:val="en-GB"/>
        </w:rPr>
        <w:t>e</w:t>
      </w:r>
      <w:r w:rsidR="006E39C1" w:rsidRPr="00800E54">
        <w:rPr>
          <w:rFonts w:ascii="Times New Roman" w:hAnsi="Times New Roman"/>
          <w:sz w:val="24"/>
          <w:lang w:val="en-GB"/>
        </w:rPr>
        <w:t xml:space="preserve"> study</w:t>
      </w:r>
      <w:r w:rsidR="000B6F1F" w:rsidRPr="00800E54">
        <w:rPr>
          <w:rFonts w:ascii="Times New Roman" w:hAnsi="Times New Roman"/>
          <w:sz w:val="24"/>
          <w:lang w:val="en-GB"/>
        </w:rPr>
        <w:t xml:space="preserve"> presented here</w:t>
      </w:r>
      <w:r w:rsidR="006E39C1" w:rsidRPr="00800E54">
        <w:rPr>
          <w:rFonts w:ascii="Times New Roman" w:hAnsi="Times New Roman"/>
          <w:sz w:val="24"/>
          <w:lang w:val="en-GB"/>
        </w:rPr>
        <w:t xml:space="preserve">, propose a new </w:t>
      </w:r>
      <w:r w:rsidR="00CF4D03" w:rsidRPr="00800E54">
        <w:rPr>
          <w:rFonts w:ascii="Times New Roman" w:hAnsi="Times New Roman"/>
          <w:sz w:val="24"/>
          <w:lang w:val="en-GB"/>
        </w:rPr>
        <w:t xml:space="preserve">nested </w:t>
      </w:r>
      <w:r w:rsidR="006E39C1" w:rsidRPr="00800E54">
        <w:rPr>
          <w:rFonts w:ascii="Times New Roman" w:hAnsi="Times New Roman"/>
          <w:sz w:val="24"/>
          <w:lang w:val="en-GB"/>
        </w:rPr>
        <w:t xml:space="preserve">choice model in which </w:t>
      </w:r>
      <w:r w:rsidR="000B6F1F" w:rsidRPr="00800E54">
        <w:rPr>
          <w:rFonts w:ascii="Times New Roman" w:hAnsi="Times New Roman"/>
          <w:sz w:val="24"/>
          <w:lang w:val="en-GB"/>
        </w:rPr>
        <w:t xml:space="preserve">passengers choose a hyperpath based on personal preferences but the choice of the line itself is according to </w:t>
      </w:r>
      <w:r w:rsidR="00CF4D03" w:rsidRPr="00800E54">
        <w:rPr>
          <w:rFonts w:ascii="Times New Roman" w:hAnsi="Times New Roman"/>
          <w:sz w:val="24"/>
          <w:lang w:val="en-GB"/>
        </w:rPr>
        <w:t xml:space="preserve">the </w:t>
      </w:r>
      <w:r w:rsidR="000B6F1F" w:rsidRPr="00800E54">
        <w:rPr>
          <w:rFonts w:ascii="Times New Roman" w:hAnsi="Times New Roman"/>
          <w:sz w:val="24"/>
          <w:lang w:val="en-GB"/>
        </w:rPr>
        <w:t>line frequency as in the Spiess</w:t>
      </w:r>
      <w:r w:rsidR="00CF4D03" w:rsidRPr="00800E54">
        <w:rPr>
          <w:rFonts w:ascii="Times New Roman" w:hAnsi="Times New Roman"/>
          <w:sz w:val="24"/>
          <w:lang w:val="en-GB"/>
        </w:rPr>
        <w:t xml:space="preserve"> and </w:t>
      </w:r>
      <w:r w:rsidR="000B6F1F" w:rsidRPr="00800E54">
        <w:rPr>
          <w:rFonts w:ascii="Times New Roman" w:hAnsi="Times New Roman"/>
          <w:sz w:val="24"/>
          <w:lang w:val="en-GB"/>
        </w:rPr>
        <w:t>Florian model.</w:t>
      </w:r>
    </w:p>
    <w:p w:rsidR="00F10F6A" w:rsidRPr="00800E54" w:rsidRDefault="00F10F6A" w:rsidP="00F10F6A">
      <w:pPr>
        <w:rPr>
          <w:rFonts w:ascii="Times New Roman" w:hAnsi="Times New Roman"/>
          <w:sz w:val="24"/>
          <w:lang w:val="en-GB"/>
        </w:rPr>
      </w:pPr>
    </w:p>
    <w:p w:rsidR="00F10F6A" w:rsidRPr="00800E54" w:rsidRDefault="00F10F6A" w:rsidP="00F10F6A">
      <w:pPr>
        <w:rPr>
          <w:rFonts w:ascii="Times New Roman" w:hAnsi="Times New Roman"/>
          <w:sz w:val="24"/>
          <w:lang w:val="en-GB"/>
        </w:rPr>
      </w:pPr>
    </w:p>
    <w:p w:rsidR="001B46BD" w:rsidRPr="00800E54" w:rsidRDefault="001B46BD" w:rsidP="00F10F6A">
      <w:pPr>
        <w:rPr>
          <w:rFonts w:ascii="Times New Roman" w:hAnsi="Times New Roman"/>
          <w:sz w:val="24"/>
          <w:lang w:val="en-GB"/>
        </w:rPr>
      </w:pPr>
    </w:p>
    <w:p w:rsidR="00F10F6A" w:rsidRPr="00800E54" w:rsidRDefault="00F10F6A" w:rsidP="00F10F6A">
      <w:pPr>
        <w:ind w:leftChars="100" w:left="210" w:rightChars="133" w:right="279"/>
        <w:rPr>
          <w:rFonts w:ascii="Times New Roman" w:hAnsi="Times New Roman"/>
          <w:b/>
          <w:sz w:val="24"/>
          <w:lang w:val="en-GB"/>
        </w:rPr>
      </w:pPr>
      <w:r w:rsidRPr="00800E54">
        <w:rPr>
          <w:rFonts w:ascii="Times New Roman" w:hAnsi="Times New Roman"/>
          <w:b/>
          <w:sz w:val="24"/>
          <w:lang w:val="en-GB"/>
        </w:rPr>
        <w:lastRenderedPageBreak/>
        <w:t>ACKNOWLEDGMENTS</w:t>
      </w:r>
    </w:p>
    <w:p w:rsidR="00F10F6A" w:rsidRPr="00800E54" w:rsidRDefault="00F10F6A" w:rsidP="00F10F6A">
      <w:pPr>
        <w:rPr>
          <w:rFonts w:ascii="Times New Roman" w:hAnsi="Times New Roman"/>
          <w:sz w:val="24"/>
          <w:lang w:val="en-GB"/>
        </w:rPr>
      </w:pPr>
    </w:p>
    <w:p w:rsidR="00F10F6A" w:rsidRPr="00800E54" w:rsidRDefault="00F10F6A" w:rsidP="00F10F6A">
      <w:pPr>
        <w:ind w:firstLineChars="250" w:firstLine="600"/>
        <w:rPr>
          <w:rFonts w:ascii="Times New Roman" w:hAnsi="Times New Roman"/>
          <w:sz w:val="24"/>
          <w:lang w:val="en-GB"/>
        </w:rPr>
      </w:pPr>
      <w:r w:rsidRPr="00800E54">
        <w:rPr>
          <w:rFonts w:ascii="Times New Roman" w:hAnsi="Times New Roman"/>
          <w:sz w:val="24"/>
          <w:lang w:val="en-GB"/>
        </w:rPr>
        <w:t>We would like to thank Dr Hiroshi Shimamoto (Kyoto University), Professor Michael G. H. Bell (</w:t>
      </w:r>
      <w:r w:rsidR="009F468F" w:rsidRPr="00800E54">
        <w:rPr>
          <w:rFonts w:ascii="Times New Roman" w:hAnsi="Times New Roman"/>
          <w:sz w:val="24"/>
          <w:lang w:val="en-GB"/>
        </w:rPr>
        <w:t>University of Sydney</w:t>
      </w:r>
      <w:r w:rsidRPr="00800E54">
        <w:rPr>
          <w:rFonts w:ascii="Times New Roman" w:hAnsi="Times New Roman"/>
          <w:sz w:val="24"/>
          <w:lang w:val="en-GB"/>
        </w:rPr>
        <w:t xml:space="preserve">) and several members of the COST action </w:t>
      </w:r>
      <w:r w:rsidR="009F468F" w:rsidRPr="00800E54">
        <w:rPr>
          <w:rFonts w:ascii="Times New Roman" w:hAnsi="Times New Roman"/>
          <w:sz w:val="24"/>
          <w:lang w:val="en-GB"/>
        </w:rPr>
        <w:t>TU</w:t>
      </w:r>
      <w:r w:rsidRPr="00800E54">
        <w:rPr>
          <w:rFonts w:ascii="Times New Roman" w:hAnsi="Times New Roman"/>
          <w:sz w:val="24"/>
          <w:lang w:val="en-GB"/>
        </w:rPr>
        <w:t>1004 for some valuable discussions which have influenced this research. This research has further been supported by “Grant-in-Aid for Challenging Exploratory Research”, No. 2365312, (2011-2012) from The Ministry of Education, Culture, Sports, Science and Technology of Japan.</w:t>
      </w:r>
    </w:p>
    <w:p w:rsidR="00F10F6A" w:rsidRPr="00800E54" w:rsidRDefault="00F10F6A" w:rsidP="00F10F6A">
      <w:pPr>
        <w:rPr>
          <w:rFonts w:ascii="Times New Roman" w:hAnsi="Times New Roman"/>
          <w:sz w:val="24"/>
          <w:lang w:val="en-GB"/>
        </w:rPr>
      </w:pPr>
    </w:p>
    <w:p w:rsidR="00F10F6A" w:rsidRPr="00800E54" w:rsidRDefault="00F10F6A" w:rsidP="00F10F6A">
      <w:pPr>
        <w:rPr>
          <w:rFonts w:ascii="Times New Roman" w:hAnsi="Times New Roman"/>
          <w:sz w:val="24"/>
          <w:lang w:val="en-GB"/>
        </w:rPr>
      </w:pPr>
    </w:p>
    <w:p w:rsidR="00F10F6A" w:rsidRPr="00800E54" w:rsidRDefault="00F10F6A" w:rsidP="00F10F6A">
      <w:pPr>
        <w:ind w:leftChars="100" w:left="210" w:rightChars="133" w:right="279"/>
        <w:rPr>
          <w:rFonts w:ascii="Times New Roman" w:hAnsi="Times New Roman"/>
          <w:b/>
          <w:sz w:val="24"/>
          <w:lang w:val="en-GB"/>
        </w:rPr>
      </w:pPr>
      <w:r w:rsidRPr="00800E54">
        <w:rPr>
          <w:rFonts w:ascii="Times New Roman" w:hAnsi="Times New Roman"/>
          <w:b/>
          <w:sz w:val="24"/>
          <w:lang w:val="en-GB"/>
        </w:rPr>
        <w:t>APPENDIX – Details of cluster analysis</w:t>
      </w:r>
    </w:p>
    <w:p w:rsidR="00F10F6A" w:rsidRPr="00800E54" w:rsidRDefault="00F10F6A" w:rsidP="00F10F6A">
      <w:pPr>
        <w:rPr>
          <w:rFonts w:ascii="Times New Roman" w:hAnsi="Times New Roman"/>
          <w:sz w:val="24"/>
          <w:lang w:val="en-GB"/>
        </w:rPr>
      </w:pPr>
    </w:p>
    <w:p w:rsidR="00F10F6A" w:rsidRPr="00800E54" w:rsidRDefault="00F10F6A" w:rsidP="00F10F6A">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Stability analysis method</w:t>
      </w:r>
    </w:p>
    <w:p w:rsidR="00724947" w:rsidRPr="00800E54" w:rsidRDefault="00724947" w:rsidP="00724947">
      <w:pPr>
        <w:rPr>
          <w:rFonts w:ascii="Times New Roman" w:hAnsi="Times New Roman"/>
          <w:sz w:val="24"/>
          <w:lang w:val="en-GB"/>
        </w:rPr>
      </w:pPr>
    </w:p>
    <w:p w:rsidR="00F10F6A" w:rsidRPr="00800E54" w:rsidRDefault="00F10F6A" w:rsidP="00F10F6A">
      <w:pPr>
        <w:ind w:firstLineChars="250" w:firstLine="600"/>
        <w:rPr>
          <w:rFonts w:ascii="Times New Roman" w:hAnsi="Times New Roman"/>
          <w:sz w:val="24"/>
          <w:lang w:val="en-GB"/>
        </w:rPr>
      </w:pPr>
      <w:r w:rsidRPr="00800E54">
        <w:rPr>
          <w:rFonts w:ascii="Times New Roman" w:hAnsi="Times New Roman"/>
          <w:sz w:val="24"/>
          <w:lang w:val="en-GB"/>
        </w:rPr>
        <w:t xml:space="preserve">Solving a cluster problem means to identify correctly the number of clusters and the assignment of objects to clusters. Our approach to evaluating the goodness of a cluster model is based on the consideration that, if a model is correctly specified i.e. if the correct number of clusters is assumed, two objects belonging to the same “true” cluster should be assigned to the same “estimated” cluster whatever subset of the original set of objects is used in the clustering process. In other words a good model is a model that provides stable solutions when perturbations are introduced in input data. To test the stability of solutions we adopt the following procedure </w:t>
      </w:r>
    </w:p>
    <w:p w:rsidR="00F10F6A" w:rsidRPr="00800E54" w:rsidRDefault="00F10F6A" w:rsidP="00F10F6A">
      <w:pPr>
        <w:rPr>
          <w:rFonts w:ascii="Times New Roman" w:hAnsi="Times New Roman"/>
          <w:sz w:val="24"/>
          <w:lang w:val="en-GB"/>
        </w:rPr>
      </w:pPr>
    </w:p>
    <w:p w:rsidR="00F10F6A" w:rsidRPr="00800E54" w:rsidRDefault="00F10F6A" w:rsidP="00F10F6A">
      <w:pPr>
        <w:pStyle w:val="ListParagraph"/>
        <w:numPr>
          <w:ilvl w:val="0"/>
          <w:numId w:val="6"/>
        </w:numPr>
        <w:rPr>
          <w:sz w:val="24"/>
          <w:lang w:val="en-GB"/>
        </w:rPr>
      </w:pPr>
      <w:r w:rsidRPr="00800E54">
        <w:rPr>
          <w:sz w:val="24"/>
          <w:lang w:val="en-GB"/>
        </w:rPr>
        <w:t>Specify the model setting the number of clusters n</w:t>
      </w:r>
    </w:p>
    <w:p w:rsidR="00F10F6A" w:rsidRPr="00800E54" w:rsidRDefault="00F10F6A" w:rsidP="00F10F6A">
      <w:pPr>
        <w:pStyle w:val="ListParagraph"/>
        <w:rPr>
          <w:sz w:val="24"/>
          <w:lang w:val="en-GB"/>
        </w:rPr>
      </w:pPr>
      <w:r w:rsidRPr="00800E54">
        <w:rPr>
          <w:sz w:val="24"/>
          <w:lang w:val="en-GB"/>
        </w:rPr>
        <w:t>Randomly split the sample in two disjoint subsamples S1 and S2 almost of the same size</w:t>
      </w:r>
    </w:p>
    <w:p w:rsidR="00F10F6A" w:rsidRPr="00800E54" w:rsidRDefault="00F10F6A" w:rsidP="00F10F6A">
      <w:pPr>
        <w:pStyle w:val="ListParagraph"/>
        <w:rPr>
          <w:sz w:val="24"/>
          <w:lang w:val="en-GB"/>
        </w:rPr>
      </w:pPr>
      <w:r w:rsidRPr="00800E54">
        <w:rPr>
          <w:sz w:val="24"/>
          <w:lang w:val="en-GB"/>
        </w:rPr>
        <w:t xml:space="preserve">Build a n cluster model of S1 using the SPSS TwoStep procedure, say </w:t>
      </w:r>
      <m:oMath>
        <m:sSubSup>
          <m:sSubSupPr>
            <m:ctrlPr>
              <w:rPr>
                <w:rFonts w:ascii="Cambria Math" w:hAnsi="Cambria Math"/>
                <w:sz w:val="24"/>
                <w:lang w:val="en-GB"/>
              </w:rPr>
            </m:ctrlPr>
          </m:sSubSupPr>
          <m:e>
            <m:r>
              <m:rPr>
                <m:scr m:val="script"/>
                <m:sty m:val="p"/>
              </m:rPr>
              <w:rPr>
                <w:rFonts w:ascii="Cambria Math" w:hAnsi="Cambria Math"/>
                <w:sz w:val="24"/>
                <w:lang w:val="en-GB"/>
              </w:rPr>
              <m:t>C</m:t>
            </m:r>
          </m:e>
          <m:sub>
            <m:r>
              <m:rPr>
                <m:sty m:val="p"/>
              </m:rPr>
              <w:rPr>
                <w:rFonts w:ascii="Cambria Math"/>
                <w:sz w:val="24"/>
                <w:lang w:val="en-GB"/>
              </w:rPr>
              <m:t>1</m:t>
            </m:r>
          </m:sub>
          <m:sup>
            <m:r>
              <w:rPr>
                <w:rFonts w:ascii="Cambria Math" w:hAnsi="Cambria Math"/>
                <w:sz w:val="24"/>
                <w:lang w:val="en-GB"/>
              </w:rPr>
              <m:t>TwS</m:t>
            </m:r>
          </m:sup>
        </m:sSubSup>
      </m:oMath>
    </w:p>
    <w:p w:rsidR="00F10F6A" w:rsidRPr="00800E54" w:rsidRDefault="00F10F6A" w:rsidP="00F10F6A">
      <w:pPr>
        <w:pStyle w:val="ListParagraph"/>
        <w:rPr>
          <w:sz w:val="24"/>
          <w:lang w:val="en-GB"/>
        </w:rPr>
      </w:pPr>
      <w:r w:rsidRPr="00800E54">
        <w:rPr>
          <w:sz w:val="24"/>
          <w:lang w:val="en-GB"/>
        </w:rPr>
        <w:t xml:space="preserve">Using the cluster distribution in </w:t>
      </w:r>
      <m:oMath>
        <m:sSubSup>
          <m:sSubSupPr>
            <m:ctrlPr>
              <w:rPr>
                <w:rFonts w:ascii="Cambria Math" w:hAnsi="Cambria Math"/>
                <w:sz w:val="24"/>
                <w:lang w:val="en-GB"/>
              </w:rPr>
            </m:ctrlPr>
          </m:sSubSupPr>
          <m:e>
            <m:r>
              <m:rPr>
                <m:scr m:val="script"/>
                <m:sty m:val="p"/>
              </m:rPr>
              <w:rPr>
                <w:rFonts w:ascii="Cambria Math" w:hAnsi="Cambria Math"/>
                <w:sz w:val="24"/>
                <w:lang w:val="en-GB"/>
              </w:rPr>
              <m:t>C</m:t>
            </m:r>
          </m:e>
          <m:sub>
            <m:r>
              <m:rPr>
                <m:sty m:val="p"/>
              </m:rPr>
              <w:rPr>
                <w:rFonts w:ascii="Cambria Math"/>
                <w:sz w:val="24"/>
                <w:lang w:val="en-GB"/>
              </w:rPr>
              <m:t>1</m:t>
            </m:r>
          </m:sub>
          <m:sup>
            <m:r>
              <w:rPr>
                <w:rFonts w:ascii="Cambria Math" w:hAnsi="Cambria Math"/>
                <w:sz w:val="24"/>
                <w:lang w:val="en-GB"/>
              </w:rPr>
              <m:t>TwS</m:t>
            </m:r>
          </m:sup>
        </m:sSubSup>
      </m:oMath>
      <w:r w:rsidRPr="00800E54">
        <w:rPr>
          <w:sz w:val="24"/>
          <w:lang w:val="en-GB"/>
        </w:rPr>
        <w:t xml:space="preserve"> as dependent variable, build a Classification Tree and use it to predict a clustering of S1, say </w:t>
      </w:r>
      <m:oMath>
        <m:sSubSup>
          <m:sSubSupPr>
            <m:ctrlPr>
              <w:rPr>
                <w:rFonts w:ascii="Cambria Math" w:hAnsi="Cambria Math"/>
                <w:sz w:val="24"/>
                <w:lang w:val="en-GB"/>
              </w:rPr>
            </m:ctrlPr>
          </m:sSubSupPr>
          <m:e>
            <m:r>
              <m:rPr>
                <m:scr m:val="script"/>
                <m:sty m:val="p"/>
              </m:rPr>
              <w:rPr>
                <w:rFonts w:ascii="Cambria Math" w:hAnsi="Cambria Math"/>
                <w:sz w:val="24"/>
                <w:lang w:val="en-GB"/>
              </w:rPr>
              <m:t>C</m:t>
            </m:r>
          </m:e>
          <m:sub>
            <m:r>
              <m:rPr>
                <m:sty m:val="p"/>
              </m:rPr>
              <w:rPr>
                <w:rFonts w:ascii="Cambria Math"/>
                <w:sz w:val="24"/>
                <w:lang w:val="en-GB"/>
              </w:rPr>
              <m:t>1</m:t>
            </m:r>
          </m:sub>
          <m:sup>
            <m:r>
              <w:rPr>
                <w:rFonts w:ascii="Cambria Math" w:hAnsi="Cambria Math"/>
                <w:sz w:val="24"/>
                <w:lang w:val="en-GB"/>
              </w:rPr>
              <m:t>CTr</m:t>
            </m:r>
          </m:sup>
        </m:sSubSup>
      </m:oMath>
      <w:r w:rsidRPr="00800E54">
        <w:rPr>
          <w:sz w:val="24"/>
          <w:lang w:val="en-GB"/>
        </w:rPr>
        <w:t xml:space="preserve">, and S2, say </w:t>
      </w:r>
      <m:oMath>
        <m:sSubSup>
          <m:sSubSupPr>
            <m:ctrlPr>
              <w:rPr>
                <w:rFonts w:ascii="Cambria Math" w:hAnsi="Cambria Math"/>
                <w:sz w:val="24"/>
                <w:lang w:val="en-GB"/>
              </w:rPr>
            </m:ctrlPr>
          </m:sSubSupPr>
          <m:e>
            <m:r>
              <m:rPr>
                <m:scr m:val="script"/>
                <m:sty m:val="p"/>
              </m:rPr>
              <w:rPr>
                <w:rFonts w:ascii="Cambria Math" w:hAnsi="Cambria Math"/>
                <w:sz w:val="24"/>
                <w:lang w:val="en-GB"/>
              </w:rPr>
              <m:t>C</m:t>
            </m:r>
          </m:e>
          <m:sub>
            <m:r>
              <m:rPr>
                <m:sty m:val="p"/>
              </m:rPr>
              <w:rPr>
                <w:rFonts w:ascii="Cambria Math"/>
                <w:sz w:val="24"/>
                <w:lang w:val="en-GB"/>
              </w:rPr>
              <m:t>2</m:t>
            </m:r>
          </m:sub>
          <m:sup>
            <m:r>
              <w:rPr>
                <w:rFonts w:ascii="Cambria Math" w:hAnsi="Cambria Math"/>
                <w:sz w:val="24"/>
                <w:lang w:val="en-GB"/>
              </w:rPr>
              <m:t>CTr</m:t>
            </m:r>
          </m:sup>
        </m:sSubSup>
      </m:oMath>
    </w:p>
    <w:p w:rsidR="00F10F6A" w:rsidRPr="00800E54" w:rsidRDefault="00F10F6A" w:rsidP="00F10F6A">
      <w:pPr>
        <w:pStyle w:val="ListParagraph"/>
        <w:numPr>
          <w:ilvl w:val="1"/>
          <w:numId w:val="5"/>
        </w:numPr>
        <w:rPr>
          <w:sz w:val="24"/>
          <w:lang w:val="en-GB"/>
        </w:rPr>
      </w:pPr>
      <w:r w:rsidRPr="00800E54">
        <w:rPr>
          <w:sz w:val="24"/>
          <w:lang w:val="en-GB"/>
        </w:rPr>
        <w:t>Evaluate the Misclassification Risk (MR) associated to the tree</w:t>
      </w:r>
    </w:p>
    <w:p w:rsidR="00F10F6A" w:rsidRPr="00800E54" w:rsidRDefault="00F10F6A" w:rsidP="00F10F6A">
      <w:pPr>
        <w:pStyle w:val="ListParagraph"/>
        <w:rPr>
          <w:sz w:val="24"/>
          <w:lang w:val="en-GB"/>
        </w:rPr>
      </w:pPr>
      <w:r w:rsidRPr="00800E54">
        <w:rPr>
          <w:sz w:val="24"/>
          <w:lang w:val="en-GB"/>
        </w:rPr>
        <w:t xml:space="preserve">Build a n cluster model of S2 using the SPSS TwoStep procedure, say </w:t>
      </w:r>
      <m:oMath>
        <m:sSubSup>
          <m:sSubSupPr>
            <m:ctrlPr>
              <w:rPr>
                <w:rFonts w:ascii="Cambria Math" w:hAnsi="Cambria Math"/>
                <w:sz w:val="24"/>
                <w:lang w:val="en-GB"/>
              </w:rPr>
            </m:ctrlPr>
          </m:sSubSupPr>
          <m:e>
            <m:r>
              <m:rPr>
                <m:scr m:val="script"/>
                <m:sty m:val="p"/>
              </m:rPr>
              <w:rPr>
                <w:rFonts w:ascii="Cambria Math" w:hAnsi="Cambria Math"/>
                <w:sz w:val="24"/>
                <w:lang w:val="en-GB"/>
              </w:rPr>
              <m:t>C</m:t>
            </m:r>
          </m:e>
          <m:sub>
            <m:r>
              <m:rPr>
                <m:sty m:val="p"/>
              </m:rPr>
              <w:rPr>
                <w:rFonts w:ascii="Cambria Math"/>
                <w:sz w:val="24"/>
                <w:lang w:val="en-GB"/>
              </w:rPr>
              <m:t>2</m:t>
            </m:r>
          </m:sub>
          <m:sup>
            <m:r>
              <w:rPr>
                <w:rFonts w:ascii="Cambria Math" w:hAnsi="Cambria Math"/>
                <w:sz w:val="24"/>
                <w:lang w:val="en-GB"/>
              </w:rPr>
              <m:t>TwS</m:t>
            </m:r>
          </m:sup>
        </m:sSubSup>
      </m:oMath>
    </w:p>
    <w:p w:rsidR="00F10F6A" w:rsidRPr="00800E54" w:rsidRDefault="00F10F6A" w:rsidP="00F10F6A">
      <w:pPr>
        <w:pStyle w:val="ListParagraph"/>
        <w:rPr>
          <w:sz w:val="24"/>
          <w:lang w:val="en-GB"/>
        </w:rPr>
      </w:pPr>
      <w:r w:rsidRPr="00800E54">
        <w:rPr>
          <w:sz w:val="24"/>
          <w:lang w:val="en-GB"/>
        </w:rPr>
        <w:t xml:space="preserve">Compare </w:t>
      </w:r>
      <m:oMath>
        <m:sSubSup>
          <m:sSubSupPr>
            <m:ctrlPr>
              <w:rPr>
                <w:rFonts w:ascii="Cambria Math" w:hAnsi="Cambria Math"/>
                <w:sz w:val="24"/>
                <w:lang w:val="en-GB"/>
              </w:rPr>
            </m:ctrlPr>
          </m:sSubSupPr>
          <m:e>
            <m:r>
              <m:rPr>
                <m:scr m:val="script"/>
                <m:sty m:val="p"/>
              </m:rPr>
              <w:rPr>
                <w:rFonts w:ascii="Cambria Math" w:hAnsi="Cambria Math"/>
                <w:sz w:val="24"/>
                <w:lang w:val="en-GB"/>
              </w:rPr>
              <m:t>C</m:t>
            </m:r>
          </m:e>
          <m:sub>
            <m:r>
              <m:rPr>
                <m:sty m:val="p"/>
              </m:rPr>
              <w:rPr>
                <w:rFonts w:ascii="Cambria Math"/>
                <w:sz w:val="24"/>
                <w:lang w:val="en-GB"/>
              </w:rPr>
              <m:t>2</m:t>
            </m:r>
          </m:sub>
          <m:sup>
            <m:r>
              <w:rPr>
                <w:rFonts w:ascii="Cambria Math" w:hAnsi="Cambria Math"/>
                <w:sz w:val="24"/>
                <w:lang w:val="en-GB"/>
              </w:rPr>
              <m:t>CTr</m:t>
            </m:r>
          </m:sup>
        </m:sSubSup>
      </m:oMath>
      <w:r w:rsidRPr="00800E54">
        <w:rPr>
          <w:sz w:val="24"/>
          <w:lang w:val="en-GB"/>
        </w:rPr>
        <w:t xml:space="preserve"> with </w:t>
      </w:r>
      <m:oMath>
        <m:sSubSup>
          <m:sSubSupPr>
            <m:ctrlPr>
              <w:rPr>
                <w:rFonts w:ascii="Cambria Math" w:hAnsi="Cambria Math"/>
                <w:sz w:val="24"/>
                <w:lang w:val="en-GB"/>
              </w:rPr>
            </m:ctrlPr>
          </m:sSubSupPr>
          <m:e>
            <m:r>
              <m:rPr>
                <m:scr m:val="script"/>
                <m:sty m:val="p"/>
              </m:rPr>
              <w:rPr>
                <w:rFonts w:ascii="Cambria Math" w:hAnsi="Cambria Math"/>
                <w:sz w:val="24"/>
                <w:lang w:val="en-GB"/>
              </w:rPr>
              <m:t>C</m:t>
            </m:r>
          </m:e>
          <m:sub>
            <m:r>
              <m:rPr>
                <m:sty m:val="p"/>
              </m:rPr>
              <w:rPr>
                <w:rFonts w:ascii="Cambria Math"/>
                <w:sz w:val="24"/>
                <w:lang w:val="en-GB"/>
              </w:rPr>
              <m:t>2</m:t>
            </m:r>
          </m:sub>
          <m:sup>
            <m:r>
              <w:rPr>
                <w:rFonts w:ascii="Cambria Math" w:hAnsi="Cambria Math"/>
                <w:sz w:val="24"/>
                <w:lang w:val="en-GB"/>
              </w:rPr>
              <m:t>TwS</m:t>
            </m:r>
          </m:sup>
        </m:sSubSup>
      </m:oMath>
      <w:r w:rsidRPr="00800E54">
        <w:rPr>
          <w:sz w:val="24"/>
          <w:lang w:val="en-GB"/>
        </w:rPr>
        <w:t>using the Adjusted Rand Index (ARI)</w:t>
      </w:r>
    </w:p>
    <w:p w:rsidR="00F10F6A" w:rsidRPr="00800E54" w:rsidRDefault="00F10F6A" w:rsidP="00F10F6A">
      <w:pPr>
        <w:pStyle w:val="ListParagraph"/>
        <w:rPr>
          <w:sz w:val="24"/>
          <w:lang w:val="en-GB"/>
        </w:rPr>
      </w:pPr>
      <w:r w:rsidRPr="00800E54">
        <w:rPr>
          <w:sz w:val="24"/>
          <w:lang w:val="en-GB"/>
        </w:rPr>
        <w:t>Repeat steps from 2to 6 for 5 times in total</w:t>
      </w:r>
    </w:p>
    <w:p w:rsidR="00F10F6A" w:rsidRPr="00800E54" w:rsidRDefault="00F10F6A" w:rsidP="00F10F6A">
      <w:pPr>
        <w:rPr>
          <w:rFonts w:ascii="Times New Roman" w:hAnsi="Times New Roman"/>
          <w:sz w:val="24"/>
          <w:lang w:val="en-GB"/>
        </w:rPr>
      </w:pPr>
    </w:p>
    <w:p w:rsidR="00F10F6A" w:rsidRPr="00800E54" w:rsidRDefault="00F10F6A" w:rsidP="00F10F6A">
      <w:pPr>
        <w:ind w:firstLineChars="250" w:firstLine="600"/>
        <w:rPr>
          <w:rFonts w:ascii="Times New Roman" w:hAnsi="Times New Roman"/>
          <w:sz w:val="24"/>
          <w:lang w:val="en-GB"/>
        </w:rPr>
      </w:pPr>
      <w:r w:rsidRPr="00800E54">
        <w:rPr>
          <w:rFonts w:ascii="Times New Roman" w:hAnsi="Times New Roman"/>
          <w:sz w:val="24"/>
          <w:lang w:val="en-GB"/>
        </w:rPr>
        <w:t>Once a model has been specified (step 1), clustering can be interpreted as the application of classification rules to allocate objects to clusters. These rules are not known when clustering is performed and can be recognised only at the end of the clustering process. Profiling is making such rules explicit. Our procedure checks (step 6) whether the application to S</w:t>
      </w:r>
      <w:r w:rsidRPr="00800E54">
        <w:rPr>
          <w:rFonts w:ascii="Times New Roman" w:hAnsi="Times New Roman"/>
          <w:sz w:val="24"/>
          <w:lang w:val="en-GB"/>
        </w:rPr>
        <w:softHyphen/>
      </w:r>
      <w:r w:rsidRPr="00800E54">
        <w:rPr>
          <w:rFonts w:ascii="Times New Roman" w:hAnsi="Times New Roman"/>
          <w:sz w:val="24"/>
          <w:lang w:val="en-GB"/>
        </w:rPr>
        <w:softHyphen/>
      </w:r>
      <w:r w:rsidRPr="00800E54">
        <w:rPr>
          <w:rFonts w:ascii="Times New Roman" w:hAnsi="Times New Roman"/>
          <w:sz w:val="24"/>
          <w:vertAlign w:val="subscript"/>
          <w:lang w:val="en-GB"/>
        </w:rPr>
        <w:t>2</w:t>
      </w:r>
      <w:r w:rsidRPr="00800E54">
        <w:rPr>
          <w:rFonts w:ascii="Times New Roman" w:hAnsi="Times New Roman"/>
          <w:sz w:val="24"/>
          <w:lang w:val="en-GB"/>
        </w:rPr>
        <w:t xml:space="preserve"> (step 4) of the rules identified using S</w:t>
      </w:r>
      <w:r w:rsidRPr="00800E54">
        <w:rPr>
          <w:rFonts w:ascii="Times New Roman" w:hAnsi="Times New Roman"/>
          <w:sz w:val="24"/>
          <w:vertAlign w:val="subscript"/>
          <w:lang w:val="en-GB"/>
        </w:rPr>
        <w:t>1</w:t>
      </w:r>
      <w:r w:rsidRPr="00800E54">
        <w:rPr>
          <w:rFonts w:ascii="Times New Roman" w:hAnsi="Times New Roman"/>
          <w:sz w:val="24"/>
          <w:lang w:val="en-GB"/>
        </w:rPr>
        <w:t xml:space="preserve"> (step 3) gives rise to the same clustering originated by the direct application of the clustering algorithm to S</w:t>
      </w:r>
      <w:r w:rsidRPr="00800E54">
        <w:rPr>
          <w:rFonts w:ascii="Times New Roman" w:hAnsi="Times New Roman"/>
          <w:sz w:val="24"/>
          <w:vertAlign w:val="subscript"/>
          <w:lang w:val="en-GB"/>
        </w:rPr>
        <w:t>2</w:t>
      </w:r>
      <w:r w:rsidRPr="00800E54">
        <w:rPr>
          <w:rFonts w:ascii="Times New Roman" w:hAnsi="Times New Roman"/>
          <w:sz w:val="24"/>
          <w:lang w:val="en-GB"/>
        </w:rPr>
        <w:t xml:space="preserve"> (step 5). In other words, S</w:t>
      </w:r>
      <w:r w:rsidRPr="00800E54">
        <w:rPr>
          <w:rFonts w:ascii="Times New Roman" w:hAnsi="Times New Roman"/>
          <w:sz w:val="24"/>
          <w:vertAlign w:val="subscript"/>
          <w:lang w:val="en-GB"/>
        </w:rPr>
        <w:t>2</w:t>
      </w:r>
      <w:r w:rsidRPr="00800E54">
        <w:rPr>
          <w:rFonts w:ascii="Times New Roman" w:hAnsi="Times New Roman"/>
          <w:sz w:val="24"/>
          <w:lang w:val="en-GB"/>
        </w:rPr>
        <w:t xml:space="preserve"> is used to validate the model provided by S</w:t>
      </w:r>
      <w:r w:rsidRPr="00800E54">
        <w:rPr>
          <w:rFonts w:ascii="Times New Roman" w:hAnsi="Times New Roman"/>
          <w:sz w:val="24"/>
          <w:vertAlign w:val="subscript"/>
          <w:lang w:val="en-GB"/>
        </w:rPr>
        <w:t>1</w:t>
      </w:r>
      <w:r w:rsidRPr="00800E54">
        <w:rPr>
          <w:rFonts w:ascii="Times New Roman" w:hAnsi="Times New Roman"/>
          <w:sz w:val="24"/>
          <w:lang w:val="en-GB"/>
        </w:rPr>
        <w:t xml:space="preserve">. </w:t>
      </w:r>
    </w:p>
    <w:p w:rsidR="00F10F6A" w:rsidRPr="00800E54" w:rsidRDefault="00F10F6A" w:rsidP="00F10F6A">
      <w:pPr>
        <w:ind w:firstLineChars="250" w:firstLine="600"/>
        <w:rPr>
          <w:rFonts w:ascii="Times New Roman" w:hAnsi="Times New Roman"/>
          <w:sz w:val="24"/>
          <w:lang w:val="en-GB"/>
        </w:rPr>
      </w:pPr>
      <w:r w:rsidRPr="00800E54">
        <w:rPr>
          <w:rFonts w:ascii="Times New Roman" w:hAnsi="Times New Roman"/>
          <w:sz w:val="24"/>
          <w:lang w:val="en-GB"/>
        </w:rPr>
        <w:t>The similarity of the two clustering of S</w:t>
      </w:r>
      <w:r w:rsidRPr="00800E54">
        <w:rPr>
          <w:rFonts w:ascii="Times New Roman" w:hAnsi="Times New Roman"/>
          <w:sz w:val="24"/>
          <w:vertAlign w:val="subscript"/>
          <w:lang w:val="en-GB"/>
        </w:rPr>
        <w:t>2</w:t>
      </w:r>
      <w:r w:rsidRPr="00800E54">
        <w:rPr>
          <w:rFonts w:ascii="Times New Roman" w:hAnsi="Times New Roman"/>
          <w:sz w:val="24"/>
          <w:lang w:val="en-GB"/>
        </w:rPr>
        <w:t xml:space="preserve"> is measured by ARI. The original Rand index </w:t>
      </w:r>
      <w:r w:rsidR="007A6D31" w:rsidRPr="00800E54">
        <w:rPr>
          <w:rFonts w:ascii="Times New Roman" w:hAnsi="Times New Roman"/>
          <w:sz w:val="24"/>
          <w:lang w:val="en-GB"/>
        </w:rPr>
        <w:fldChar w:fldCharType="begin"/>
      </w:r>
      <w:r w:rsidRPr="00800E54">
        <w:rPr>
          <w:rFonts w:ascii="Times New Roman" w:hAnsi="Times New Roman"/>
          <w:sz w:val="24"/>
          <w:lang w:val="en-GB"/>
        </w:rPr>
        <w:instrText xml:space="preserve"> ADDIN EN.CITE &lt;EndNote&gt;&lt;Cite&gt;&lt;Author&gt;Rand&lt;/Author&gt;&lt;Year&gt;1971&lt;/Year&gt;&lt;RecNum&gt;67&lt;/RecNum&gt;&lt;DisplayText&gt;(Rand, 1971)&lt;/DisplayText&gt;&lt;record&gt;&lt;rec-number&gt;67&lt;/rec-number&gt;&lt;foreign-keys&gt;&lt;key app="EN" db-id="95vttf9r1tdfwmeazwcx5st8tdsaxwvzxr5z"&gt;67&lt;/key&gt;&lt;/foreign-keys&gt;&lt;ref-type name="Journal Article"&gt;17&lt;/ref-type&gt;&lt;contributors&gt;&lt;authors&gt;&lt;author&gt;Rand, W. M.&lt;/author&gt;&lt;/authors&gt;&lt;/contributors&gt;&lt;titles&gt;&lt;title&gt;Objective Criteria for Evaluation of Clustering Methods&lt;/title&gt;&lt;secondary-title&gt;Journal of the American Statistical Association&lt;/secondary-title&gt;&lt;alt-title&gt;J Am Stat Assoc&lt;/alt-title&gt;&lt;/titles&gt;&lt;periodical&gt;&lt;full-title&gt;Journal of the American Statistical Association&lt;/full-title&gt;&lt;abbr-1&gt;J Am Stat Assoc&lt;/abbr-1&gt;&lt;/periodical&gt;&lt;alt-periodical&gt;&lt;full-title&gt;Journal of the American Statistical Association&lt;/full-title&gt;&lt;abbr-1&gt;J Am Stat Assoc&lt;/abbr-1&gt;&lt;/alt-periodical&gt;&lt;pages&gt;846-&amp;amp;&lt;/pages&gt;&lt;volume&gt;66&lt;/volume&gt;&lt;number&gt;336&lt;/number&gt;&lt;dates&gt;&lt;year&gt;1971&lt;/year&gt;&lt;/dates&gt;&lt;isbn&gt;0162-1459&lt;/isbn&gt;&lt;accession-num&gt;ISI:A1971L498800028&lt;/accession-num&gt;&lt;urls&gt;&lt;related-urls&gt;&lt;url&gt;&amp;lt;Go to ISI&amp;gt;://A1971L498800028&lt;/url&gt;&lt;/related-urls&gt;&lt;/urls&gt;&lt;language&gt;English&lt;/language&gt;&lt;/record&gt;&lt;/Cite&gt;&lt;/EndNote&gt;</w:instrText>
      </w:r>
      <w:r w:rsidR="007A6D31" w:rsidRPr="00800E54">
        <w:rPr>
          <w:rFonts w:ascii="Times New Roman" w:hAnsi="Times New Roman"/>
          <w:sz w:val="24"/>
          <w:lang w:val="en-GB"/>
        </w:rPr>
        <w:fldChar w:fldCharType="separate"/>
      </w:r>
      <w:r w:rsidRPr="00800E54">
        <w:rPr>
          <w:rFonts w:ascii="Times New Roman" w:hAnsi="Times New Roman"/>
          <w:noProof/>
          <w:sz w:val="24"/>
          <w:lang w:val="en-GB"/>
        </w:rPr>
        <w:t>(</w:t>
      </w:r>
      <w:hyperlink w:anchor="_ENREF_16" w:tooltip="Rand, 1971 #67" w:history="1">
        <w:r w:rsidRPr="00800E54">
          <w:rPr>
            <w:rFonts w:ascii="Times New Roman" w:hAnsi="Times New Roman"/>
            <w:noProof/>
            <w:sz w:val="24"/>
            <w:lang w:val="en-GB"/>
          </w:rPr>
          <w:t>Rand, 1971</w:t>
        </w:r>
      </w:hyperlink>
      <w:r w:rsidRPr="00800E54">
        <w:rPr>
          <w:rFonts w:ascii="Times New Roman" w:hAnsi="Times New Roman"/>
          <w:noProof/>
          <w:sz w:val="24"/>
          <w:lang w:val="en-GB"/>
        </w:rPr>
        <w:t>)</w:t>
      </w:r>
      <w:r w:rsidR="007A6D31" w:rsidRPr="00800E54">
        <w:rPr>
          <w:rFonts w:ascii="Times New Roman" w:hAnsi="Times New Roman"/>
          <w:sz w:val="24"/>
          <w:lang w:val="en-GB"/>
        </w:rPr>
        <w:fldChar w:fldCharType="end"/>
      </w:r>
      <w:r w:rsidRPr="00800E54">
        <w:rPr>
          <w:rFonts w:ascii="Times New Roman" w:hAnsi="Times New Roman"/>
          <w:sz w:val="24"/>
          <w:lang w:val="en-GB"/>
        </w:rPr>
        <w:t xml:space="preserve"> is a measure of the similarity of two partitions of a set </w:t>
      </w:r>
      <m:oMath>
        <m:r>
          <m:rPr>
            <m:scr m:val="script"/>
          </m:rPr>
          <w:rPr>
            <w:rFonts w:ascii="Cambria Math" w:hAnsi="Cambria Math"/>
            <w:sz w:val="24"/>
            <w:lang w:val="en-GB"/>
          </w:rPr>
          <m:t>O</m:t>
        </m:r>
      </m:oMath>
      <w:r w:rsidRPr="00800E54">
        <w:rPr>
          <w:rFonts w:ascii="Times New Roman" w:hAnsi="Times New Roman"/>
          <w:sz w:val="24"/>
          <w:lang w:val="en-GB"/>
        </w:rPr>
        <w:t xml:space="preserve"> of </w:t>
      </w:r>
      <m:oMath>
        <m:r>
          <w:rPr>
            <w:rFonts w:ascii="Cambria Math" w:hAnsi="Cambria Math"/>
            <w:sz w:val="24"/>
            <w:lang w:val="en-GB"/>
          </w:rPr>
          <m:t>r</m:t>
        </m:r>
      </m:oMath>
      <w:r w:rsidRPr="00800E54">
        <w:rPr>
          <w:rFonts w:ascii="Times New Roman" w:hAnsi="Times New Roman"/>
          <w:sz w:val="24"/>
          <w:lang w:val="en-GB"/>
        </w:rPr>
        <w:t xml:space="preserve"> objects: Let </w:t>
      </w:r>
      <m:oMath>
        <m:r>
          <m:rPr>
            <m:scr m:val="script"/>
          </m:rPr>
          <w:rPr>
            <w:rFonts w:ascii="Cambria Math" w:hAnsi="Cambria Math"/>
            <w:sz w:val="24"/>
            <w:lang w:val="en-GB"/>
          </w:rPr>
          <m:t>P</m:t>
        </m:r>
      </m:oMath>
      <w:r w:rsidRPr="00800E54">
        <w:rPr>
          <w:rFonts w:ascii="Times New Roman" w:hAnsi="Times New Roman"/>
          <w:sz w:val="24"/>
          <w:lang w:val="en-GB"/>
        </w:rPr>
        <w:t xml:space="preserve"> and </w:t>
      </w:r>
      <m:oMath>
        <m:r>
          <m:rPr>
            <m:scr m:val="script"/>
          </m:rPr>
          <w:rPr>
            <w:rFonts w:ascii="Cambria Math" w:hAnsi="Cambria Math"/>
            <w:sz w:val="24"/>
            <w:lang w:val="en-GB"/>
          </w:rPr>
          <m:t>Q</m:t>
        </m:r>
      </m:oMath>
      <w:r w:rsidRPr="00800E54">
        <w:rPr>
          <w:rFonts w:ascii="Times New Roman" w:hAnsi="Times New Roman"/>
          <w:sz w:val="24"/>
          <w:lang w:val="en-GB"/>
        </w:rPr>
        <w:t xml:space="preserve"> two partitions of </w:t>
      </w:r>
      <m:oMath>
        <m:r>
          <m:rPr>
            <m:scr m:val="script"/>
          </m:rPr>
          <w:rPr>
            <w:rFonts w:ascii="Cambria Math" w:hAnsi="Cambria Math"/>
            <w:sz w:val="24"/>
            <w:lang w:val="en-GB"/>
          </w:rPr>
          <m:t>O</m:t>
        </m:r>
      </m:oMath>
      <w:r w:rsidRPr="00800E54">
        <w:rPr>
          <w:rFonts w:ascii="Times New Roman" w:hAnsi="Times New Roman"/>
          <w:sz w:val="24"/>
          <w:lang w:val="en-GB"/>
        </w:rPr>
        <w:t xml:space="preserve">, </w:t>
      </w:r>
      <m:oMath>
        <m:r>
          <w:rPr>
            <w:rFonts w:ascii="Cambria Math" w:hAnsi="Cambria Math"/>
            <w:sz w:val="24"/>
            <w:lang w:val="en-GB"/>
          </w:rPr>
          <m:t>a</m:t>
        </m:r>
      </m:oMath>
      <w:r w:rsidRPr="00800E54">
        <w:rPr>
          <w:rFonts w:ascii="Times New Roman" w:hAnsi="Times New Roman"/>
          <w:sz w:val="24"/>
          <w:lang w:val="en-GB"/>
        </w:rPr>
        <w:t xml:space="preserve"> the number of objects which are in the same set both in </w:t>
      </w:r>
      <m:oMath>
        <m:r>
          <m:rPr>
            <m:scr m:val="script"/>
          </m:rPr>
          <w:rPr>
            <w:rFonts w:ascii="Cambria Math" w:hAnsi="Cambria Math"/>
            <w:sz w:val="24"/>
            <w:lang w:val="en-GB"/>
          </w:rPr>
          <m:t>P</m:t>
        </m:r>
      </m:oMath>
      <w:r w:rsidRPr="00800E54">
        <w:rPr>
          <w:rFonts w:ascii="Times New Roman" w:hAnsi="Times New Roman"/>
          <w:sz w:val="24"/>
          <w:lang w:val="en-GB"/>
        </w:rPr>
        <w:t xml:space="preserve"> and in </w:t>
      </w:r>
      <m:oMath>
        <m:r>
          <m:rPr>
            <m:scr m:val="script"/>
          </m:rPr>
          <w:rPr>
            <w:rFonts w:ascii="Cambria Math" w:hAnsi="Cambria Math"/>
            <w:sz w:val="24"/>
            <w:lang w:val="en-GB"/>
          </w:rPr>
          <m:t>Q</m:t>
        </m:r>
      </m:oMath>
      <w:r w:rsidRPr="00800E54">
        <w:rPr>
          <w:rFonts w:ascii="Times New Roman" w:hAnsi="Times New Roman"/>
          <w:sz w:val="24"/>
          <w:lang w:val="en-GB"/>
        </w:rPr>
        <w:t xml:space="preserve">, and </w:t>
      </w:r>
      <m:oMath>
        <m:r>
          <w:rPr>
            <w:rFonts w:ascii="Cambria Math" w:hAnsi="Cambria Math"/>
            <w:sz w:val="24"/>
            <w:lang w:val="en-GB"/>
          </w:rPr>
          <m:t>b</m:t>
        </m:r>
      </m:oMath>
      <w:r w:rsidRPr="00800E54">
        <w:rPr>
          <w:rFonts w:ascii="Times New Roman" w:hAnsi="Times New Roman"/>
          <w:sz w:val="24"/>
          <w:lang w:val="en-GB"/>
        </w:rPr>
        <w:t xml:space="preserve"> the number of objects which are in different sets both in </w:t>
      </w:r>
      <m:oMath>
        <m:r>
          <m:rPr>
            <m:scr m:val="script"/>
          </m:rPr>
          <w:rPr>
            <w:rFonts w:ascii="Cambria Math" w:hAnsi="Cambria Math"/>
            <w:sz w:val="24"/>
            <w:lang w:val="en-GB"/>
          </w:rPr>
          <m:t>P</m:t>
        </m:r>
      </m:oMath>
      <w:r w:rsidRPr="00800E54">
        <w:rPr>
          <w:rFonts w:ascii="Times New Roman" w:hAnsi="Times New Roman"/>
          <w:sz w:val="24"/>
          <w:lang w:val="en-GB"/>
        </w:rPr>
        <w:t xml:space="preserve"> and in </w:t>
      </w:r>
      <m:oMath>
        <m:r>
          <m:rPr>
            <m:scr m:val="script"/>
          </m:rPr>
          <w:rPr>
            <w:rFonts w:ascii="Cambria Math" w:hAnsi="Cambria Math"/>
            <w:sz w:val="24"/>
            <w:lang w:val="en-GB"/>
          </w:rPr>
          <m:t>Q</m:t>
        </m:r>
      </m:oMath>
      <w:r w:rsidRPr="00800E54">
        <w:rPr>
          <w:rFonts w:ascii="Times New Roman" w:hAnsi="Times New Roman"/>
          <w:sz w:val="24"/>
          <w:lang w:val="en-GB"/>
        </w:rPr>
        <w:t xml:space="preserve">. The Rand index is the ratio </w:t>
      </w:r>
      <m:oMath>
        <m:f>
          <m:fPr>
            <m:ctrlPr>
              <w:rPr>
                <w:rFonts w:ascii="Cambria Math" w:hAnsi="Times New Roman"/>
                <w:i/>
                <w:sz w:val="24"/>
                <w:lang w:val="en-GB"/>
              </w:rPr>
            </m:ctrlPr>
          </m:fPr>
          <m:num>
            <m:r>
              <w:rPr>
                <w:rFonts w:ascii="Cambria Math" w:hAnsi="Cambria Math"/>
                <w:sz w:val="24"/>
                <w:lang w:val="en-GB"/>
              </w:rPr>
              <m:t>a</m:t>
            </m:r>
            <m:r>
              <w:rPr>
                <w:rFonts w:ascii="Cambria Math" w:hAnsi="Times New Roman"/>
                <w:sz w:val="24"/>
                <w:lang w:val="en-GB"/>
              </w:rPr>
              <m:t>+</m:t>
            </m:r>
            <m:r>
              <w:rPr>
                <w:rFonts w:ascii="Cambria Math" w:hAnsi="Cambria Math"/>
                <w:sz w:val="24"/>
                <w:lang w:val="en-GB"/>
              </w:rPr>
              <m:t>b</m:t>
            </m:r>
          </m:num>
          <m:den>
            <m:d>
              <m:dPr>
                <m:ctrlPr>
                  <w:rPr>
                    <w:rFonts w:ascii="Cambria Math" w:hAnsi="Times New Roman"/>
                    <w:i/>
                    <w:sz w:val="24"/>
                    <w:lang w:val="en-GB"/>
                  </w:rPr>
                </m:ctrlPr>
              </m:dPr>
              <m:e>
                <m:f>
                  <m:fPr>
                    <m:type m:val="noBar"/>
                    <m:ctrlPr>
                      <w:rPr>
                        <w:rFonts w:ascii="Cambria Math" w:hAnsi="Times New Roman"/>
                        <w:i/>
                        <w:sz w:val="24"/>
                        <w:lang w:val="en-GB"/>
                      </w:rPr>
                    </m:ctrlPr>
                  </m:fPr>
                  <m:num>
                    <m:r>
                      <w:rPr>
                        <w:rFonts w:ascii="Cambria Math" w:hAnsi="Cambria Math"/>
                        <w:sz w:val="24"/>
                        <w:lang w:val="en-GB"/>
                      </w:rPr>
                      <m:t>r</m:t>
                    </m:r>
                  </m:num>
                  <m:den>
                    <m:r>
                      <w:rPr>
                        <w:rFonts w:ascii="Cambria Math" w:hAnsi="Times New Roman"/>
                        <w:sz w:val="24"/>
                        <w:lang w:val="en-GB"/>
                      </w:rPr>
                      <m:t>2</m:t>
                    </m:r>
                  </m:den>
                </m:f>
              </m:e>
            </m:d>
          </m:den>
        </m:f>
      </m:oMath>
      <w:r w:rsidRPr="00800E54">
        <w:rPr>
          <w:rFonts w:ascii="Times New Roman" w:hAnsi="Times New Roman"/>
          <w:sz w:val="24"/>
          <w:lang w:val="en-GB"/>
        </w:rPr>
        <w:t xml:space="preserve">. ARI has been proposed by Hubert and Arabie </w:t>
      </w:r>
      <w:r w:rsidR="007A6D31" w:rsidRPr="00800E54">
        <w:rPr>
          <w:rFonts w:ascii="Times New Roman" w:hAnsi="Times New Roman"/>
          <w:sz w:val="24"/>
          <w:lang w:val="en-GB"/>
        </w:rPr>
        <w:fldChar w:fldCharType="begin"/>
      </w:r>
      <w:r w:rsidRPr="00800E54">
        <w:rPr>
          <w:rFonts w:ascii="Times New Roman" w:hAnsi="Times New Roman"/>
          <w:sz w:val="24"/>
          <w:lang w:val="en-GB"/>
        </w:rPr>
        <w:instrText xml:space="preserve"> ADDIN EN.CITE &lt;EndNote&gt;&lt;Cite ExcludeAuth="1"&gt;&lt;Author&gt;Hubert&lt;/Author&gt;&lt;Year&gt;1985&lt;/Year&gt;&lt;RecNum&gt;52&lt;/RecNum&gt;&lt;DisplayText&gt;(1985)&lt;/DisplayText&gt;&lt;record&gt;&lt;rec-number&gt;52&lt;/rec-number&gt;&lt;foreign-keys&gt;&lt;key app="EN" db-id="95vttf9r1tdfwmeazwcx5st8tdsaxwvzxr5z"&gt;52&lt;/key&gt;&lt;/foreign-keys&gt;&lt;ref-type name="Journal Article"&gt;17&lt;/ref-type&gt;&lt;contributors&gt;&lt;authors&gt;&lt;author&gt;Hubert, L.&lt;/author&gt;&lt;author&gt;Arabie, P.&lt;/author&gt;&lt;/authors&gt;&lt;/contributors&gt;&lt;auth-address&gt;Hubert, L&amp;#xD;Univ Calif Santa Barbara,Grad Sch Educ,Santa Barbara,Ca 93106, USA&amp;#xD;Univ Calif Santa Barbara,Grad Sch Educ,Santa Barbara,Ca 93106, USA&amp;#xD;Univ Calif Santa Barbara,Dept Psychol,Santa Barbara,Ca 93106&lt;/auth-address&gt;&lt;titles&gt;&lt;title&gt;Comparing Partitions&lt;/title&gt;&lt;secondary-title&gt;Journal of Classification&lt;/secondary-title&gt;&lt;alt-title&gt;J Classif&lt;/alt-title&gt;&lt;/titles&gt;&lt;periodical&gt;&lt;full-title&gt;Journal of Classification&lt;/full-title&gt;&lt;abbr-1&gt;J Classif&lt;/abbr-1&gt;&lt;/periodical&gt;&lt;alt-periodical&gt;&lt;full-title&gt;Journal of Classification&lt;/full-title&gt;&lt;abbr-1&gt;J Classif&lt;/abbr-1&gt;&lt;/alt-periodical&gt;&lt;pages&gt;193-218&lt;/pages&gt;&lt;volume&gt;2&lt;/volume&gt;&lt;number&gt;2-3&lt;/number&gt;&lt;dates&gt;&lt;year&gt;1985&lt;/year&gt;&lt;/dates&gt;&lt;isbn&gt;0176-4268&lt;/isbn&gt;&lt;accession-num&gt;ISI:A1985AVF9100003&lt;/accession-num&gt;&lt;urls&gt;&lt;related-urls&gt;&lt;url&gt;&amp;lt;Go to ISI&amp;gt;://A1985AVF9100003&lt;/url&gt;&lt;/related-urls&gt;&lt;/urls&gt;&lt;language&gt;English&lt;/language&gt;&lt;/record&gt;&lt;/Cite&gt;&lt;/EndNote&gt;</w:instrText>
      </w:r>
      <w:r w:rsidR="007A6D31" w:rsidRPr="00800E54">
        <w:rPr>
          <w:rFonts w:ascii="Times New Roman" w:hAnsi="Times New Roman"/>
          <w:sz w:val="24"/>
          <w:lang w:val="en-GB"/>
        </w:rPr>
        <w:fldChar w:fldCharType="separate"/>
      </w:r>
      <w:r w:rsidRPr="00800E54">
        <w:rPr>
          <w:rFonts w:ascii="Times New Roman" w:hAnsi="Times New Roman"/>
          <w:noProof/>
          <w:sz w:val="24"/>
          <w:lang w:val="en-GB"/>
        </w:rPr>
        <w:t>(</w:t>
      </w:r>
      <w:hyperlink w:anchor="_ENREF_5" w:tooltip="Hubert, 1985 #52" w:history="1">
        <w:r w:rsidRPr="00800E54">
          <w:rPr>
            <w:rFonts w:ascii="Times New Roman" w:hAnsi="Times New Roman"/>
            <w:noProof/>
            <w:sz w:val="24"/>
            <w:lang w:val="en-GB"/>
          </w:rPr>
          <w:t>1985</w:t>
        </w:r>
      </w:hyperlink>
      <w:r w:rsidRPr="00800E54">
        <w:rPr>
          <w:rFonts w:ascii="Times New Roman" w:hAnsi="Times New Roman"/>
          <w:noProof/>
          <w:sz w:val="24"/>
          <w:lang w:val="en-GB"/>
        </w:rPr>
        <w:t>)</w:t>
      </w:r>
      <w:r w:rsidR="007A6D31" w:rsidRPr="00800E54">
        <w:rPr>
          <w:rFonts w:ascii="Times New Roman" w:hAnsi="Times New Roman"/>
          <w:sz w:val="24"/>
          <w:lang w:val="en-GB"/>
        </w:rPr>
        <w:fldChar w:fldCharType="end"/>
      </w:r>
      <w:r w:rsidRPr="00800E54">
        <w:rPr>
          <w:rFonts w:ascii="Times New Roman" w:hAnsi="Times New Roman"/>
          <w:sz w:val="24"/>
          <w:lang w:val="en-GB"/>
        </w:rPr>
        <w:t xml:space="preserve"> to correct the fact that the expected value of the Rand index of two random partitions is not constant. ARI ranges between 0 and 1. In cluster analysis Rand index and ARI are frequently used as measure of external validity of a clustering when correct clusters are known a priori </w:t>
      </w:r>
      <w:r w:rsidR="007A6D31" w:rsidRPr="00800E54">
        <w:rPr>
          <w:rFonts w:ascii="Times New Roman" w:hAnsi="Times New Roman"/>
          <w:sz w:val="24"/>
          <w:lang w:val="en-GB"/>
        </w:rPr>
        <w:fldChar w:fldCharType="begin"/>
      </w:r>
      <w:r w:rsidRPr="00800E54">
        <w:rPr>
          <w:rFonts w:ascii="Times New Roman" w:hAnsi="Times New Roman"/>
          <w:sz w:val="24"/>
          <w:lang w:val="en-GB"/>
        </w:rPr>
        <w:instrText xml:space="preserve"> ADDIN EN.CITE &lt;EndNote&gt;&lt;Cite&gt;&lt;Author&gt;Milligan&lt;/Author&gt;&lt;Year&gt;1986&lt;/Year&gt;&lt;RecNum&gt;65&lt;/RecNum&gt;&lt;DisplayText&gt;(Milligan and Cooper, 1986)&lt;/DisplayText&gt;&lt;record&gt;&lt;rec-number&gt;65&lt;/rec-number&gt;&lt;foreign-keys&gt;&lt;key app="EN" db-id="95vttf9r1tdfwmeazwcx5st8tdsaxwvzxr5z"&gt;65&lt;/key&gt;&lt;/foreign-keys&gt;&lt;ref-type name="Journal Article"&gt;17&lt;/ref-type&gt;&lt;contributors&gt;&lt;authors&gt;&lt;author&gt;Milligan, G. W.&lt;/author&gt;&lt;author&gt;Cooper, M. C.&lt;/author&gt;&lt;/authors&gt;&lt;/contributors&gt;&lt;auth-address&gt;Milligan, Gw&amp;#xD;Ohio State Univ,Fac Management Sci,301 Hagerty Hall,Columbus,Oh 43210, USA&amp;#xD;Ohio State Univ,Fac Management Sci,301 Hagerty Hall,Columbus,Oh 43210, USA&amp;#xD;Ohio State Univ,Fac Mkt,Columbus,Oh 43210&lt;/auth-address&gt;&lt;titles&gt;&lt;title&gt;A Study of the Comparability of External Criteria for Hierarchical Cluster-Analysis&lt;/title&gt;&lt;secondary-title&gt;Multivariate Behavioral Research&lt;/secondary-title&gt;&lt;alt-title&gt;Multivar Behav Res&lt;/alt-title&gt;&lt;/titles&gt;&lt;periodical&gt;&lt;full-title&gt;Multivariate Behavioral Research&lt;/full-title&gt;&lt;abbr-1&gt;Multivar Behav Res&lt;/abbr-1&gt;&lt;/periodical&gt;&lt;alt-periodical&gt;&lt;full-title&gt;Multivariate Behavioral Research&lt;/full-title&gt;&lt;abbr-1&gt;Multivar Behav Res&lt;/abbr-1&gt;&lt;/alt-periodical&gt;&lt;pages&gt;441-458&lt;/pages&gt;&lt;volume&gt;21&lt;/volume&gt;&lt;number&gt;4&lt;/number&gt;&lt;dates&gt;&lt;year&gt;1986&lt;/year&gt;&lt;pub-dates&gt;&lt;date&gt;Oct&lt;/date&gt;&lt;/pub-dates&gt;&lt;/dates&gt;&lt;isbn&gt;0027-3171&lt;/isbn&gt;&lt;accession-num&gt;ISI:A1986E648400004&lt;/accession-num&gt;&lt;urls&gt;&lt;related-urls&gt;&lt;url&gt;&amp;lt;Go to ISI&amp;gt;://A1986E648400004&lt;/url&gt;&lt;/related-urls&gt;&lt;/urls&gt;&lt;language&gt;English&lt;/language&gt;&lt;/record&gt;&lt;/Cite&gt;&lt;/EndNote&gt;</w:instrText>
      </w:r>
      <w:r w:rsidR="007A6D31" w:rsidRPr="00800E54">
        <w:rPr>
          <w:rFonts w:ascii="Times New Roman" w:hAnsi="Times New Roman"/>
          <w:sz w:val="24"/>
          <w:lang w:val="en-GB"/>
        </w:rPr>
        <w:fldChar w:fldCharType="separate"/>
      </w:r>
      <w:r w:rsidRPr="00800E54">
        <w:rPr>
          <w:rFonts w:ascii="Times New Roman" w:hAnsi="Times New Roman"/>
          <w:noProof/>
          <w:sz w:val="24"/>
          <w:lang w:val="en-GB"/>
        </w:rPr>
        <w:t>(</w:t>
      </w:r>
      <w:hyperlink w:anchor="_ENREF_11" w:tooltip="Milligan, 1986 #65" w:history="1">
        <w:r w:rsidRPr="00800E54">
          <w:rPr>
            <w:rFonts w:ascii="Times New Roman" w:hAnsi="Times New Roman"/>
            <w:noProof/>
            <w:sz w:val="24"/>
            <w:lang w:val="en-GB"/>
          </w:rPr>
          <w:t xml:space="preserve">Milligan </w:t>
        </w:r>
        <w:r w:rsidRPr="00800E54">
          <w:rPr>
            <w:rFonts w:ascii="Times New Roman" w:hAnsi="Times New Roman"/>
            <w:noProof/>
            <w:sz w:val="24"/>
            <w:lang w:val="en-GB"/>
          </w:rPr>
          <w:lastRenderedPageBreak/>
          <w:t>and Cooper, 1986</w:t>
        </w:r>
      </w:hyperlink>
      <w:r w:rsidRPr="00800E54">
        <w:rPr>
          <w:rFonts w:ascii="Times New Roman" w:hAnsi="Times New Roman"/>
          <w:noProof/>
          <w:sz w:val="24"/>
          <w:lang w:val="en-GB"/>
        </w:rPr>
        <w:t>)</w:t>
      </w:r>
      <w:r w:rsidR="007A6D31" w:rsidRPr="00800E54">
        <w:rPr>
          <w:rFonts w:ascii="Times New Roman" w:hAnsi="Times New Roman"/>
          <w:sz w:val="24"/>
          <w:lang w:val="en-GB"/>
        </w:rPr>
        <w:fldChar w:fldCharType="end"/>
      </w:r>
      <w:r w:rsidRPr="00800E54">
        <w:rPr>
          <w:rFonts w:ascii="Times New Roman" w:hAnsi="Times New Roman"/>
          <w:sz w:val="24"/>
          <w:lang w:val="en-GB"/>
        </w:rPr>
        <w:t>. In our procedure the clusters of S</w:t>
      </w:r>
      <w:r w:rsidRPr="00800E54">
        <w:rPr>
          <w:rFonts w:ascii="Times New Roman" w:hAnsi="Times New Roman"/>
          <w:sz w:val="24"/>
          <w:vertAlign w:val="subscript"/>
          <w:lang w:val="en-GB"/>
        </w:rPr>
        <w:t>2</w:t>
      </w:r>
      <w:r w:rsidRPr="00800E54">
        <w:rPr>
          <w:rFonts w:ascii="Times New Roman" w:hAnsi="Times New Roman"/>
          <w:sz w:val="24"/>
          <w:lang w:val="en-GB"/>
        </w:rPr>
        <w:t xml:space="preserve"> generated by the rules underpinning </w:t>
      </w:r>
      <m:oMath>
        <m:sSubSup>
          <m:sSubSupPr>
            <m:ctrlPr>
              <w:rPr>
                <w:rFonts w:ascii="Cambria Math" w:hAnsi="Times New Roman"/>
                <w:i/>
                <w:sz w:val="24"/>
                <w:lang w:val="en-GB"/>
              </w:rPr>
            </m:ctrlPr>
          </m:sSubSupPr>
          <m:e>
            <m:r>
              <m:rPr>
                <m:scr m:val="script"/>
              </m:rPr>
              <w:rPr>
                <w:rFonts w:ascii="Cambria Math" w:hAnsi="Cambria Math"/>
                <w:sz w:val="24"/>
                <w:lang w:val="en-GB"/>
              </w:rPr>
              <m:t>C</m:t>
            </m:r>
          </m:e>
          <m:sub>
            <m:r>
              <w:rPr>
                <w:rFonts w:ascii="Cambria Math" w:hAnsi="Times New Roman"/>
                <w:sz w:val="24"/>
                <w:lang w:val="en-GB"/>
              </w:rPr>
              <m:t>1</m:t>
            </m:r>
          </m:sub>
          <m:sup>
            <m:r>
              <w:rPr>
                <w:rFonts w:ascii="Cambria Math" w:hAnsi="Cambria Math"/>
                <w:sz w:val="24"/>
                <w:lang w:val="en-GB"/>
              </w:rPr>
              <m:t>TwS</m:t>
            </m:r>
          </m:sup>
        </m:sSubSup>
      </m:oMath>
      <w:r w:rsidRPr="00800E54">
        <w:rPr>
          <w:rFonts w:ascii="Times New Roman" w:hAnsi="Times New Roman"/>
          <w:sz w:val="24"/>
          <w:lang w:val="en-GB"/>
        </w:rPr>
        <w:t xml:space="preserve"> are assumed correct and compared with those generated by applying the SPSS TwoStep (i.e. </w:t>
      </w:r>
      <m:oMath>
        <m:sSubSup>
          <m:sSubSupPr>
            <m:ctrlPr>
              <w:rPr>
                <w:rFonts w:ascii="Cambria Math" w:hAnsi="Times New Roman"/>
                <w:i/>
                <w:sz w:val="24"/>
                <w:lang w:val="en-GB"/>
              </w:rPr>
            </m:ctrlPr>
          </m:sSubSupPr>
          <m:e>
            <m:r>
              <m:rPr>
                <m:scr m:val="script"/>
              </m:rPr>
              <w:rPr>
                <w:rFonts w:ascii="Cambria Math" w:hAnsi="Cambria Math"/>
                <w:sz w:val="24"/>
                <w:lang w:val="en-GB"/>
              </w:rPr>
              <m:t>C</m:t>
            </m:r>
          </m:e>
          <m:sub>
            <m:r>
              <w:rPr>
                <w:rFonts w:ascii="Cambria Math" w:hAnsi="Times New Roman"/>
                <w:sz w:val="24"/>
                <w:lang w:val="en-GB"/>
              </w:rPr>
              <m:t>2</m:t>
            </m:r>
          </m:sub>
          <m:sup>
            <m:r>
              <w:rPr>
                <w:rFonts w:ascii="Cambria Math" w:hAnsi="Cambria Math"/>
                <w:sz w:val="24"/>
                <w:lang w:val="en-GB"/>
              </w:rPr>
              <m:t>TwS</m:t>
            </m:r>
          </m:sup>
        </m:sSubSup>
      </m:oMath>
      <w:r w:rsidRPr="00800E54">
        <w:rPr>
          <w:rFonts w:ascii="Times New Roman" w:hAnsi="Times New Roman"/>
          <w:sz w:val="24"/>
          <w:lang w:val="en-GB"/>
        </w:rPr>
        <w:t>).</w:t>
      </w:r>
    </w:p>
    <w:p w:rsidR="00F10F6A" w:rsidRPr="00800E54" w:rsidRDefault="00F10F6A" w:rsidP="00F10F6A">
      <w:pPr>
        <w:ind w:firstLineChars="250" w:firstLine="600"/>
        <w:rPr>
          <w:rFonts w:ascii="Times New Roman" w:hAnsi="Times New Roman"/>
          <w:sz w:val="24"/>
          <w:lang w:val="en-GB"/>
        </w:rPr>
      </w:pPr>
      <w:r w:rsidRPr="00800E54">
        <w:rPr>
          <w:rFonts w:ascii="Times New Roman" w:hAnsi="Times New Roman"/>
          <w:sz w:val="24"/>
          <w:lang w:val="en-GB"/>
        </w:rPr>
        <w:t xml:space="preserve">In evaluating the results of such comparison, it has to be considered that the rules defining </w:t>
      </w:r>
      <m:oMath>
        <m:sSubSup>
          <m:sSubSupPr>
            <m:ctrlPr>
              <w:rPr>
                <w:rFonts w:ascii="Cambria Math" w:hAnsi="Times New Roman"/>
                <w:i/>
                <w:sz w:val="24"/>
                <w:lang w:val="en-GB"/>
              </w:rPr>
            </m:ctrlPr>
          </m:sSubSupPr>
          <m:e>
            <m:r>
              <m:rPr>
                <m:scr m:val="script"/>
              </m:rPr>
              <w:rPr>
                <w:rFonts w:ascii="Cambria Math" w:hAnsi="Cambria Math"/>
                <w:sz w:val="24"/>
                <w:lang w:val="en-GB"/>
              </w:rPr>
              <m:t>C</m:t>
            </m:r>
          </m:e>
          <m:sub>
            <m:r>
              <w:rPr>
                <w:rFonts w:ascii="Cambria Math" w:hAnsi="Times New Roman"/>
                <w:sz w:val="24"/>
                <w:lang w:val="en-GB"/>
              </w:rPr>
              <m:t>1</m:t>
            </m:r>
          </m:sub>
          <m:sup>
            <m:r>
              <w:rPr>
                <w:rFonts w:ascii="Cambria Math" w:hAnsi="Cambria Math"/>
                <w:sz w:val="24"/>
                <w:lang w:val="en-GB"/>
              </w:rPr>
              <m:t>TwS</m:t>
            </m:r>
          </m:sup>
        </m:sSubSup>
      </m:oMath>
      <w:r w:rsidRPr="00800E54">
        <w:rPr>
          <w:rFonts w:ascii="Times New Roman" w:hAnsi="Times New Roman"/>
          <w:sz w:val="24"/>
          <w:lang w:val="en-GB"/>
        </w:rPr>
        <w:t xml:space="preserve"> can be derived only in an approximate way by using the Classification Tree technique (step 4). MR (step 4.1), the percentage of cases correctly classified by a tree, is interpreted as an indicator of the Classification Tree algorithm capacity to identify such rules. If MR in 4.1 is high (i.e. if </w:t>
      </w:r>
      <m:oMath>
        <m:sSubSup>
          <m:sSubSupPr>
            <m:ctrlPr>
              <w:rPr>
                <w:rFonts w:ascii="Cambria Math" w:hAnsi="Times New Roman"/>
                <w:i/>
                <w:sz w:val="24"/>
                <w:lang w:val="en-GB"/>
              </w:rPr>
            </m:ctrlPr>
          </m:sSubSupPr>
          <m:e>
            <m:r>
              <m:rPr>
                <m:scr m:val="script"/>
              </m:rPr>
              <w:rPr>
                <w:rFonts w:ascii="Cambria Math" w:hAnsi="Cambria Math"/>
                <w:sz w:val="24"/>
                <w:lang w:val="en-GB"/>
              </w:rPr>
              <m:t>C</m:t>
            </m:r>
          </m:e>
          <m:sub>
            <m:r>
              <w:rPr>
                <w:rFonts w:ascii="Cambria Math" w:hAnsi="Times New Roman"/>
                <w:sz w:val="24"/>
                <w:lang w:val="en-GB"/>
              </w:rPr>
              <m:t>1</m:t>
            </m:r>
          </m:sub>
          <m:sup>
            <m:r>
              <w:rPr>
                <w:rFonts w:ascii="Cambria Math" w:hAnsi="Cambria Math"/>
                <w:sz w:val="24"/>
                <w:lang w:val="en-GB"/>
              </w:rPr>
              <m:t>TwS</m:t>
            </m:r>
          </m:sup>
        </m:sSubSup>
      </m:oMath>
      <w:r w:rsidRPr="00800E54">
        <w:rPr>
          <w:rFonts w:ascii="Times New Roman" w:hAnsi="Times New Roman"/>
          <w:sz w:val="24"/>
          <w:lang w:val="en-GB"/>
        </w:rPr>
        <w:t xml:space="preserve"> and </w:t>
      </w:r>
      <m:oMath>
        <m:sSubSup>
          <m:sSubSupPr>
            <m:ctrlPr>
              <w:rPr>
                <w:rFonts w:ascii="Cambria Math" w:hAnsi="Times New Roman"/>
                <w:i/>
                <w:sz w:val="24"/>
                <w:lang w:val="en-GB"/>
              </w:rPr>
            </m:ctrlPr>
          </m:sSubSupPr>
          <m:e>
            <m:r>
              <m:rPr>
                <m:scr m:val="script"/>
              </m:rPr>
              <w:rPr>
                <w:rFonts w:ascii="Cambria Math" w:hAnsi="Cambria Math"/>
                <w:sz w:val="24"/>
                <w:lang w:val="en-GB"/>
              </w:rPr>
              <m:t>C</m:t>
            </m:r>
          </m:e>
          <m:sub>
            <m:r>
              <w:rPr>
                <w:rFonts w:ascii="Cambria Math" w:hAnsi="Times New Roman"/>
                <w:sz w:val="24"/>
                <w:lang w:val="en-GB"/>
              </w:rPr>
              <m:t>1</m:t>
            </m:r>
          </m:sub>
          <m:sup>
            <m:r>
              <w:rPr>
                <w:rFonts w:ascii="Cambria Math" w:hAnsi="Cambria Math"/>
                <w:sz w:val="24"/>
                <w:lang w:val="en-GB"/>
              </w:rPr>
              <m:t>CTr</m:t>
            </m:r>
          </m:sup>
        </m:sSubSup>
      </m:oMath>
      <w:r w:rsidRPr="00800E54">
        <w:rPr>
          <w:rFonts w:ascii="Times New Roman" w:hAnsi="Times New Roman"/>
          <w:sz w:val="24"/>
          <w:lang w:val="en-GB"/>
        </w:rPr>
        <w:t xml:space="preserve"> are different), </w:t>
      </w:r>
      <m:oMath>
        <m:sSubSup>
          <m:sSubSupPr>
            <m:ctrlPr>
              <w:rPr>
                <w:rFonts w:ascii="Cambria Math" w:hAnsi="Times New Roman"/>
                <w:i/>
                <w:sz w:val="24"/>
                <w:lang w:val="en-GB"/>
              </w:rPr>
            </m:ctrlPr>
          </m:sSubSupPr>
          <m:e>
            <m:r>
              <m:rPr>
                <m:scr m:val="script"/>
              </m:rPr>
              <w:rPr>
                <w:rFonts w:ascii="Cambria Math" w:hAnsi="Cambria Math"/>
                <w:sz w:val="24"/>
                <w:lang w:val="en-GB"/>
              </w:rPr>
              <m:t>C</m:t>
            </m:r>
          </m:e>
          <m:sub>
            <m:r>
              <w:rPr>
                <w:rFonts w:ascii="Cambria Math" w:hAnsi="Times New Roman"/>
                <w:sz w:val="24"/>
                <w:lang w:val="en-GB"/>
              </w:rPr>
              <m:t>2</m:t>
            </m:r>
          </m:sub>
          <m:sup>
            <m:r>
              <w:rPr>
                <w:rFonts w:ascii="Cambria Math" w:hAnsi="Cambria Math"/>
                <w:sz w:val="24"/>
                <w:lang w:val="en-GB"/>
              </w:rPr>
              <m:t>CTr</m:t>
            </m:r>
          </m:sup>
        </m:sSubSup>
      </m:oMath>
      <w:r w:rsidRPr="00800E54">
        <w:rPr>
          <w:rFonts w:ascii="Times New Roman" w:hAnsi="Times New Roman"/>
          <w:sz w:val="24"/>
          <w:lang w:val="en-GB"/>
        </w:rPr>
        <w:t xml:space="preserve"> might not coincide with the clustering of S</w:t>
      </w:r>
      <w:r w:rsidRPr="00800E54">
        <w:rPr>
          <w:rFonts w:ascii="Times New Roman" w:hAnsi="Times New Roman"/>
          <w:sz w:val="24"/>
          <w:vertAlign w:val="subscript"/>
          <w:lang w:val="en-GB"/>
        </w:rPr>
        <w:t>2</w:t>
      </w:r>
      <w:r w:rsidRPr="00800E54">
        <w:rPr>
          <w:rFonts w:ascii="Times New Roman" w:hAnsi="Times New Roman"/>
          <w:sz w:val="24"/>
          <w:lang w:val="en-GB"/>
        </w:rPr>
        <w:t xml:space="preserve"> induced by the (unknown) rules giving rise to </w:t>
      </w:r>
      <m:oMath>
        <m:sSubSup>
          <m:sSubSupPr>
            <m:ctrlPr>
              <w:rPr>
                <w:rFonts w:ascii="Cambria Math" w:hAnsi="Times New Roman"/>
                <w:i/>
                <w:sz w:val="24"/>
                <w:lang w:val="en-GB"/>
              </w:rPr>
            </m:ctrlPr>
          </m:sSubSupPr>
          <m:e>
            <m:r>
              <m:rPr>
                <m:scr m:val="script"/>
              </m:rPr>
              <w:rPr>
                <w:rFonts w:ascii="Cambria Math" w:hAnsi="Cambria Math"/>
                <w:sz w:val="24"/>
                <w:lang w:val="en-GB"/>
              </w:rPr>
              <m:t>C</m:t>
            </m:r>
          </m:e>
          <m:sub>
            <m:r>
              <w:rPr>
                <w:rFonts w:ascii="Cambria Math" w:hAnsi="Times New Roman"/>
                <w:sz w:val="24"/>
                <w:lang w:val="en-GB"/>
              </w:rPr>
              <m:t>1</m:t>
            </m:r>
          </m:sub>
          <m:sup>
            <m:r>
              <w:rPr>
                <w:rFonts w:ascii="Cambria Math" w:hAnsi="Cambria Math"/>
                <w:sz w:val="24"/>
                <w:lang w:val="en-GB"/>
              </w:rPr>
              <m:t>TwS</m:t>
            </m:r>
          </m:sup>
        </m:sSubSup>
      </m:oMath>
      <w:r w:rsidRPr="00800E54">
        <w:rPr>
          <w:rFonts w:ascii="Times New Roman" w:hAnsi="Times New Roman"/>
          <w:sz w:val="24"/>
          <w:lang w:val="en-GB"/>
        </w:rPr>
        <w:t xml:space="preserve"> and the value of ARI in 6 might be due just to the bad performance of the Classification Tree technique.</w:t>
      </w:r>
    </w:p>
    <w:p w:rsidR="00F10F6A" w:rsidRPr="00800E54" w:rsidRDefault="00F10F6A" w:rsidP="00F10F6A">
      <w:pPr>
        <w:ind w:firstLineChars="250" w:firstLine="600"/>
        <w:rPr>
          <w:rFonts w:ascii="Times New Roman" w:hAnsi="Times New Roman"/>
          <w:sz w:val="24"/>
          <w:lang w:val="en-GB"/>
        </w:rPr>
      </w:pPr>
      <w:r w:rsidRPr="00800E54">
        <w:rPr>
          <w:rFonts w:ascii="Times New Roman" w:hAnsi="Times New Roman"/>
          <w:sz w:val="24"/>
          <w:lang w:val="en-GB"/>
        </w:rPr>
        <w:t>5 iterations of the procedure (step 7) are performed to account for the randomness in defining S</w:t>
      </w:r>
      <w:r w:rsidRPr="00800E54">
        <w:rPr>
          <w:rFonts w:ascii="Times New Roman" w:hAnsi="Times New Roman"/>
          <w:sz w:val="24"/>
          <w:vertAlign w:val="subscript"/>
          <w:lang w:val="en-GB"/>
        </w:rPr>
        <w:t>1</w:t>
      </w:r>
      <w:r w:rsidRPr="00800E54">
        <w:rPr>
          <w:rFonts w:ascii="Times New Roman" w:hAnsi="Times New Roman"/>
          <w:sz w:val="24"/>
          <w:lang w:val="en-GB"/>
        </w:rPr>
        <w:t xml:space="preserve"> and S</w:t>
      </w:r>
      <w:r w:rsidRPr="00800E54">
        <w:rPr>
          <w:rFonts w:ascii="Times New Roman" w:hAnsi="Times New Roman"/>
          <w:sz w:val="24"/>
          <w:vertAlign w:val="subscript"/>
          <w:lang w:val="en-GB"/>
        </w:rPr>
        <w:t>2</w:t>
      </w:r>
      <w:r w:rsidRPr="00800E54">
        <w:rPr>
          <w:rFonts w:ascii="Times New Roman" w:hAnsi="Times New Roman"/>
          <w:sz w:val="24"/>
          <w:lang w:val="en-GB"/>
        </w:rPr>
        <w:t xml:space="preserve"> (step 2).</w:t>
      </w:r>
    </w:p>
    <w:p w:rsidR="00F10F6A" w:rsidRPr="00800E54" w:rsidRDefault="00F10F6A" w:rsidP="00F10F6A">
      <w:pPr>
        <w:rPr>
          <w:rFonts w:ascii="Times New Roman" w:hAnsi="Times New Roman"/>
          <w:sz w:val="24"/>
          <w:lang w:val="en-GB"/>
        </w:rPr>
      </w:pPr>
    </w:p>
    <w:p w:rsidR="00F10F6A" w:rsidRPr="00800E54" w:rsidRDefault="00F10F6A" w:rsidP="00F10F6A">
      <w:pPr>
        <w:rPr>
          <w:rFonts w:ascii="Times New Roman" w:hAnsi="Times New Roman"/>
          <w:sz w:val="24"/>
          <w:lang w:val="en-GB"/>
        </w:rPr>
      </w:pPr>
    </w:p>
    <w:p w:rsidR="002B4B8E" w:rsidRPr="00800E54" w:rsidRDefault="002B4B8E" w:rsidP="00F10F6A">
      <w:pPr>
        <w:rPr>
          <w:rFonts w:ascii="Times New Roman" w:hAnsi="Times New Roman"/>
          <w:sz w:val="24"/>
          <w:lang w:val="en-GB"/>
        </w:rPr>
      </w:pPr>
    </w:p>
    <w:p w:rsidR="00F10F6A" w:rsidRPr="00800E54" w:rsidRDefault="00F10F6A" w:rsidP="00F10F6A">
      <w:pPr>
        <w:autoSpaceDE w:val="0"/>
        <w:autoSpaceDN w:val="0"/>
        <w:adjustRightInd w:val="0"/>
        <w:rPr>
          <w:rFonts w:ascii="Times New Roman" w:hAnsi="Times New Roman"/>
          <w:b/>
          <w:kern w:val="0"/>
          <w:sz w:val="24"/>
          <w:lang w:val="en-GB"/>
        </w:rPr>
      </w:pPr>
      <w:r w:rsidRPr="00800E54">
        <w:rPr>
          <w:rFonts w:ascii="Times New Roman" w:hAnsi="Times New Roman"/>
          <w:b/>
          <w:kern w:val="0"/>
          <w:sz w:val="24"/>
          <w:lang w:val="en-GB"/>
        </w:rPr>
        <w:t>Demand clusters</w:t>
      </w:r>
    </w:p>
    <w:p w:rsidR="00F10F6A" w:rsidRPr="00800E54" w:rsidRDefault="00F10F6A" w:rsidP="00F10F6A">
      <w:pPr>
        <w:rPr>
          <w:rFonts w:ascii="Times New Roman" w:hAnsi="Times New Roman"/>
          <w:sz w:val="24"/>
          <w:lang w:val="en-GB"/>
        </w:rPr>
      </w:pPr>
    </w:p>
    <w:p w:rsidR="00F10F6A" w:rsidRPr="00800E54" w:rsidRDefault="00F10F6A" w:rsidP="00F10F6A">
      <w:pPr>
        <w:ind w:firstLineChars="250" w:firstLine="600"/>
        <w:rPr>
          <w:rFonts w:ascii="Times New Roman" w:hAnsi="Times New Roman"/>
          <w:sz w:val="32"/>
          <w:lang w:val="en-GB"/>
        </w:rPr>
      </w:pPr>
      <w:r w:rsidRPr="00800E54">
        <w:rPr>
          <w:rFonts w:ascii="Times New Roman" w:hAnsi="Times New Roman"/>
          <w:sz w:val="24"/>
          <w:lang w:val="en-GB"/>
        </w:rPr>
        <w:t xml:space="preserve">For the demand-related variables the SPSS heuristic strongly suggests a 2 cluster model using either information criteria, BIC and AIC (results as to the former are shown in </w:t>
      </w:r>
      <w:r w:rsidR="00202689" w:rsidRPr="00800E54">
        <w:rPr>
          <w:lang w:val="en-GB"/>
        </w:rPr>
        <w:t>Figure 4a</w:t>
      </w:r>
      <w:r w:rsidRPr="00800E54">
        <w:rPr>
          <w:rFonts w:ascii="Times New Roman" w:hAnsi="Times New Roman"/>
          <w:sz w:val="24"/>
          <w:lang w:val="en-GB"/>
        </w:rPr>
        <w:t xml:space="preserve">). Reader are referred to the SPSS manual </w:t>
      </w:r>
      <w:r w:rsidR="007A6D31" w:rsidRPr="00800E54">
        <w:rPr>
          <w:rFonts w:ascii="Times New Roman" w:hAnsi="Times New Roman"/>
          <w:sz w:val="24"/>
          <w:lang w:val="en-GB"/>
        </w:rPr>
        <w:fldChar w:fldCharType="begin"/>
      </w:r>
      <w:r w:rsidRPr="00800E54">
        <w:rPr>
          <w:rFonts w:ascii="Times New Roman" w:hAnsi="Times New Roman"/>
          <w:sz w:val="24"/>
          <w:lang w:val="en-GB"/>
        </w:rPr>
        <w:instrText xml:space="preserve"> ADDIN EN.CITE &lt;EndNote&gt;&lt;Cite&gt;&lt;Author&gt;18&lt;/Author&gt;&lt;Year&gt;2010&lt;/Year&gt;&lt;RecNum&gt;68&lt;/RecNum&gt;&lt;DisplayText&gt;(PASW Statistics 18, 2010)&lt;/DisplayText&gt;&lt;record&gt;&lt;rec-number&gt;68&lt;/rec-number&gt;&lt;foreign-keys&gt;&lt;key app="EN" db-id="95vttf9r1tdfwmeazwcx5st8tdsaxwvzxr5z"&gt;68&lt;/key&gt;&lt;/foreign-keys&gt;&lt;ref-type name="Report"&gt;27&lt;/ref-type&gt;&lt;contributors&gt;&lt;authors&gt;&lt;author&gt;PASW Statistics 18, &lt;/author&gt;&lt;/authors&gt;&lt;/contributors&gt;&lt;titles&gt;&lt;title&gt;Algorithms&lt;/title&gt;&lt;/titles&gt;&lt;volume&gt;on-line help&lt;/volume&gt;&lt;dates&gt;&lt;year&gt;2010&lt;/year&gt;&lt;/dates&gt;&lt;urls&gt;&lt;/urls&gt;&lt;/record&gt;&lt;/Cite&gt;&lt;/EndNote&gt;</w:instrText>
      </w:r>
      <w:r w:rsidR="007A6D31" w:rsidRPr="00800E54">
        <w:rPr>
          <w:rFonts w:ascii="Times New Roman" w:hAnsi="Times New Roman"/>
          <w:sz w:val="24"/>
          <w:lang w:val="en-GB"/>
        </w:rPr>
        <w:fldChar w:fldCharType="separate"/>
      </w:r>
      <w:r w:rsidRPr="00800E54">
        <w:rPr>
          <w:rFonts w:ascii="Times New Roman" w:hAnsi="Times New Roman"/>
          <w:noProof/>
          <w:sz w:val="24"/>
          <w:lang w:val="en-GB"/>
        </w:rPr>
        <w:t>(</w:t>
      </w:r>
      <w:hyperlink w:anchor="_ENREF_15" w:tooltip="PASW Statistics 18, 2010 #68" w:history="1">
        <w:r w:rsidRPr="00800E54">
          <w:rPr>
            <w:rFonts w:ascii="Times New Roman" w:hAnsi="Times New Roman"/>
            <w:noProof/>
            <w:sz w:val="24"/>
            <w:lang w:val="en-GB"/>
          </w:rPr>
          <w:t>PASW Statistics 18, 2010</w:t>
        </w:r>
      </w:hyperlink>
      <w:r w:rsidRPr="00800E54">
        <w:rPr>
          <w:rFonts w:ascii="Times New Roman" w:hAnsi="Times New Roman"/>
          <w:noProof/>
          <w:sz w:val="24"/>
          <w:lang w:val="en-GB"/>
        </w:rPr>
        <w:t>)</w:t>
      </w:r>
      <w:r w:rsidR="007A6D31" w:rsidRPr="00800E54">
        <w:rPr>
          <w:rFonts w:ascii="Times New Roman" w:hAnsi="Times New Roman"/>
          <w:sz w:val="24"/>
          <w:lang w:val="en-GB"/>
        </w:rPr>
        <w:fldChar w:fldCharType="end"/>
      </w:r>
      <w:r w:rsidRPr="00800E54">
        <w:rPr>
          <w:rFonts w:ascii="Times New Roman" w:hAnsi="Times New Roman"/>
          <w:sz w:val="24"/>
          <w:lang w:val="en-GB"/>
        </w:rPr>
        <w:t xml:space="preserve"> for details concerning the heuristic. The 2 cluster model shows the highest Silhouette index; however the value is quite low in absolute terms (0.1790, </w:t>
      </w:r>
      <w:r w:rsidR="00202689" w:rsidRPr="00800E54">
        <w:rPr>
          <w:lang w:val="en-GB"/>
        </w:rPr>
        <w:t>Figure 4b</w:t>
      </w:r>
      <w:r w:rsidRPr="00800E54">
        <w:rPr>
          <w:rFonts w:ascii="Times New Roman" w:hAnsi="Times New Roman"/>
          <w:sz w:val="24"/>
          <w:lang w:val="en-GB"/>
        </w:rPr>
        <w:t xml:space="preserve">). Kaufman and Rousseeuw </w:t>
      </w:r>
      <w:r w:rsidR="007A6D31" w:rsidRPr="00800E54">
        <w:rPr>
          <w:rFonts w:ascii="Times New Roman" w:hAnsi="Times New Roman"/>
          <w:sz w:val="24"/>
          <w:lang w:val="en-GB"/>
        </w:rPr>
        <w:fldChar w:fldCharType="begin"/>
      </w:r>
      <w:r w:rsidRPr="00800E54">
        <w:rPr>
          <w:rFonts w:ascii="Times New Roman" w:hAnsi="Times New Roman"/>
          <w:sz w:val="24"/>
          <w:lang w:val="en-GB"/>
        </w:rPr>
        <w:instrText xml:space="preserve"> ADDIN EN.CITE &lt;EndNote&gt;&lt;Cite ExcludeAuth="1"&gt;&lt;Author&gt;Kaufman&lt;/Author&gt;&lt;Year&gt;1990&lt;/Year&gt;&lt;RecNum&gt;33&lt;/RecNum&gt;&lt;DisplayText&gt;(1990)&lt;/DisplayText&gt;&lt;record&gt;&lt;rec-number&gt;33&lt;/rec-number&gt;&lt;foreign-keys&gt;&lt;key app="EN" db-id="95vttf9r1tdfwmeazwcx5st8tdsaxwvzxr5z"&gt;33&lt;/key&gt;&lt;/foreign-keys&gt;&lt;ref-type name="Book"&gt;6&lt;/ref-type&gt;&lt;contributors&gt;&lt;authors&gt;&lt;author&gt;Kaufman, Leonard&lt;/author&gt;&lt;author&gt;Rousseeuw, Peter J.&lt;/author&gt;&lt;/authors&gt;&lt;/contributors&gt;&lt;titles&gt;&lt;title&gt;Finding groups in data : an introduction to cluster analysis&lt;/title&gt;&lt;secondary-title&gt;Wiley series in probability and mathematical statistics Applied probability and statistics,&lt;/secondary-title&gt;&lt;/titles&gt;&lt;pages&gt;xiv, 342 p.&lt;/pages&gt;&lt;keywords&gt;&lt;keyword&gt;Cluster analysis.&lt;/keyword&gt;&lt;/keywords&gt;&lt;dates&gt;&lt;year&gt;1990&lt;/year&gt;&lt;/dates&gt;&lt;pub-location&gt;New York&lt;/pub-location&gt;&lt;publisher&gt;Wiley&lt;/publisher&gt;&lt;isbn&gt;0471878766&amp;#xD;0271-6356&lt;/isbn&gt;&lt;accession-num&gt;3872568&lt;/accession-num&gt;&lt;call-num&gt;Jefferson or Adams Building Reading Rooms QA278; .K38 1990&amp;#xD;Jefferson or Adams Building Reading Rooms - STORED OFFSITE QA278; .K38 1990&lt;/call-num&gt;&lt;urls&gt;&lt;related-urls&gt;&lt;url&gt;http://www.loc.gov/catdir/description/wiley033/89031460.html&lt;/url&gt;&lt;url&gt;http://www.loc.gov/catdir/toc/onix04/89031460.html&lt;/url&gt;&lt;/related-urls&gt;&lt;/urls&gt;&lt;/record&gt;&lt;/Cite&gt;&lt;/EndNote&gt;</w:instrText>
      </w:r>
      <w:r w:rsidR="007A6D31" w:rsidRPr="00800E54">
        <w:rPr>
          <w:rFonts w:ascii="Times New Roman" w:hAnsi="Times New Roman"/>
          <w:sz w:val="24"/>
          <w:lang w:val="en-GB"/>
        </w:rPr>
        <w:fldChar w:fldCharType="separate"/>
      </w:r>
      <w:r w:rsidRPr="00800E54">
        <w:rPr>
          <w:rFonts w:ascii="Times New Roman" w:hAnsi="Times New Roman"/>
          <w:noProof/>
          <w:sz w:val="24"/>
          <w:lang w:val="en-GB"/>
        </w:rPr>
        <w:t>(</w:t>
      </w:r>
      <w:hyperlink w:anchor="_ENREF_6" w:tooltip="Kaufman, 1990 #33" w:history="1">
        <w:r w:rsidRPr="00800E54">
          <w:rPr>
            <w:rFonts w:ascii="Times New Roman" w:hAnsi="Times New Roman"/>
            <w:noProof/>
            <w:sz w:val="24"/>
            <w:lang w:val="en-GB"/>
          </w:rPr>
          <w:t>1990</w:t>
        </w:r>
      </w:hyperlink>
      <w:r w:rsidRPr="00800E54">
        <w:rPr>
          <w:rFonts w:ascii="Times New Roman" w:hAnsi="Times New Roman"/>
          <w:noProof/>
          <w:sz w:val="24"/>
          <w:lang w:val="en-GB"/>
        </w:rPr>
        <w:t>)</w:t>
      </w:r>
      <w:r w:rsidR="007A6D31" w:rsidRPr="00800E54">
        <w:rPr>
          <w:rFonts w:ascii="Times New Roman" w:hAnsi="Times New Roman"/>
          <w:sz w:val="24"/>
          <w:lang w:val="en-GB"/>
        </w:rPr>
        <w:fldChar w:fldCharType="end"/>
      </w:r>
      <w:r w:rsidRPr="00800E54">
        <w:rPr>
          <w:rFonts w:ascii="Times New Roman" w:hAnsi="Times New Roman"/>
          <w:sz w:val="24"/>
          <w:lang w:val="en-GB"/>
        </w:rPr>
        <w:t xml:space="preserve"> suggest that an acceptable clustering should have a Silhouette greater than 0.2000. SPSS evaluates the Silhouette index by averaging over all cases the ratio </w:t>
      </w:r>
      <m:oMath>
        <m:f>
          <m:fPr>
            <m:ctrlPr>
              <w:rPr>
                <w:rFonts w:ascii="Cambria Math" w:hAnsi="Times New Roman"/>
                <w:i/>
                <w:sz w:val="24"/>
                <w:lang w:val="en-GB"/>
              </w:rPr>
            </m:ctrlPr>
          </m:fPr>
          <m:num>
            <m:sSub>
              <m:sSubPr>
                <m:ctrlPr>
                  <w:rPr>
                    <w:rFonts w:ascii="Cambria Math" w:hAnsi="Times New Roman"/>
                    <w:i/>
                    <w:sz w:val="24"/>
                    <w:lang w:val="en-GB"/>
                  </w:rPr>
                </m:ctrlPr>
              </m:sSubPr>
              <m:e>
                <m:r>
                  <w:rPr>
                    <w:rFonts w:ascii="Cambria Math" w:hAnsi="Cambria Math"/>
                    <w:sz w:val="24"/>
                    <w:lang w:val="en-GB"/>
                  </w:rPr>
                  <m:t>d</m:t>
                </m:r>
              </m:e>
              <m:sub>
                <m:r>
                  <w:rPr>
                    <w:rFonts w:ascii="Cambria Math" w:hAnsi="Cambria Math"/>
                    <w:sz w:val="24"/>
                    <w:lang w:val="en-GB"/>
                  </w:rPr>
                  <m:t>oc</m:t>
                </m:r>
              </m:sub>
            </m:sSub>
            <m:r>
              <w:rPr>
                <w:rFonts w:ascii="Times New Roman" w:hAnsi="Times New Roman"/>
                <w:sz w:val="24"/>
                <w:lang w:val="en-GB"/>
              </w:rPr>
              <m:t>-</m:t>
            </m:r>
            <m:func>
              <m:funcPr>
                <m:ctrlPr>
                  <w:rPr>
                    <w:rFonts w:ascii="Cambria Math" w:hAnsi="Times New Roman"/>
                    <w:i/>
                    <w:sz w:val="24"/>
                    <w:lang w:val="en-GB"/>
                  </w:rPr>
                </m:ctrlPr>
              </m:funcPr>
              <m:fName>
                <m:limLow>
                  <m:limLowPr>
                    <m:ctrlPr>
                      <w:rPr>
                        <w:rFonts w:ascii="Cambria Math" w:hAnsi="Times New Roman"/>
                        <w:i/>
                        <w:sz w:val="24"/>
                        <w:lang w:val="en-GB"/>
                      </w:rPr>
                    </m:ctrlPr>
                  </m:limLowPr>
                  <m:e>
                    <m:r>
                      <m:rPr>
                        <m:sty m:val="p"/>
                      </m:rPr>
                      <w:rPr>
                        <w:rFonts w:ascii="Cambria Math" w:hAnsi="Times New Roman"/>
                        <w:sz w:val="24"/>
                        <w:lang w:val="en-GB"/>
                      </w:rPr>
                      <m:t>min</m:t>
                    </m:r>
                  </m:e>
                  <m:lim>
                    <m:r>
                      <w:rPr>
                        <w:rFonts w:ascii="Cambria Math" w:hAnsi="Cambria Math"/>
                        <w:sz w:val="24"/>
                        <w:lang w:val="en-GB"/>
                      </w:rPr>
                      <m:t>dc</m:t>
                    </m:r>
                  </m:lim>
                </m:limLow>
              </m:fName>
              <m:e>
                <m:sSub>
                  <m:sSubPr>
                    <m:ctrlPr>
                      <w:rPr>
                        <w:rFonts w:ascii="Cambria Math" w:hAnsi="Times New Roman"/>
                        <w:i/>
                        <w:sz w:val="24"/>
                        <w:lang w:val="en-GB"/>
                      </w:rPr>
                    </m:ctrlPr>
                  </m:sSubPr>
                  <m:e>
                    <m:r>
                      <w:rPr>
                        <w:rFonts w:ascii="Cambria Math" w:hAnsi="Cambria Math"/>
                        <w:sz w:val="24"/>
                        <w:lang w:val="en-GB"/>
                      </w:rPr>
                      <m:t>d</m:t>
                    </m:r>
                  </m:e>
                  <m:sub>
                    <m:r>
                      <w:rPr>
                        <w:rFonts w:ascii="Cambria Math" w:hAnsi="Cambria Math"/>
                        <w:sz w:val="24"/>
                        <w:lang w:val="en-GB"/>
                      </w:rPr>
                      <m:t>dc</m:t>
                    </m:r>
                  </m:sub>
                </m:sSub>
              </m:e>
            </m:func>
          </m:num>
          <m:den>
            <m:r>
              <w:rPr>
                <w:rFonts w:ascii="Cambria Math" w:hAnsi="Cambria Math"/>
                <w:sz w:val="24"/>
                <w:lang w:val="en-GB"/>
              </w:rPr>
              <m:t>max</m:t>
            </m:r>
            <m:d>
              <m:dPr>
                <m:begChr m:val="{"/>
                <m:endChr m:val="}"/>
                <m:ctrlPr>
                  <w:rPr>
                    <w:rFonts w:ascii="Cambria Math" w:hAnsi="Times New Roman"/>
                    <w:i/>
                    <w:sz w:val="24"/>
                    <w:lang w:val="en-GB"/>
                  </w:rPr>
                </m:ctrlPr>
              </m:dPr>
              <m:e>
                <m:sSub>
                  <m:sSubPr>
                    <m:ctrlPr>
                      <w:rPr>
                        <w:rFonts w:ascii="Cambria Math" w:hAnsi="Times New Roman"/>
                        <w:i/>
                        <w:sz w:val="24"/>
                        <w:lang w:val="en-GB"/>
                      </w:rPr>
                    </m:ctrlPr>
                  </m:sSubPr>
                  <m:e>
                    <m:r>
                      <w:rPr>
                        <w:rFonts w:ascii="Cambria Math" w:hAnsi="Cambria Math"/>
                        <w:sz w:val="24"/>
                        <w:lang w:val="en-GB"/>
                      </w:rPr>
                      <m:t>d</m:t>
                    </m:r>
                  </m:e>
                  <m:sub>
                    <m:r>
                      <w:rPr>
                        <w:rFonts w:ascii="Cambria Math" w:hAnsi="Cambria Math"/>
                        <w:sz w:val="24"/>
                        <w:lang w:val="en-GB"/>
                      </w:rPr>
                      <m:t>oc</m:t>
                    </m:r>
                  </m:sub>
                </m:sSub>
                <m:r>
                  <w:rPr>
                    <w:rFonts w:ascii="Cambria Math" w:hAnsi="Times New Roman"/>
                    <w:sz w:val="24"/>
                    <w:lang w:val="en-GB"/>
                  </w:rPr>
                  <m:t>,</m:t>
                </m:r>
                <m:func>
                  <m:funcPr>
                    <m:ctrlPr>
                      <w:rPr>
                        <w:rFonts w:ascii="Cambria Math" w:hAnsi="Times New Roman"/>
                        <w:i/>
                        <w:sz w:val="24"/>
                        <w:lang w:val="en-GB"/>
                      </w:rPr>
                    </m:ctrlPr>
                  </m:funcPr>
                  <m:fName>
                    <m:limLow>
                      <m:limLowPr>
                        <m:ctrlPr>
                          <w:rPr>
                            <w:rFonts w:ascii="Cambria Math" w:hAnsi="Times New Roman"/>
                            <w:i/>
                            <w:sz w:val="24"/>
                            <w:lang w:val="en-GB"/>
                          </w:rPr>
                        </m:ctrlPr>
                      </m:limLowPr>
                      <m:e>
                        <m:r>
                          <m:rPr>
                            <m:sty m:val="p"/>
                          </m:rPr>
                          <w:rPr>
                            <w:rFonts w:ascii="Cambria Math" w:hAnsi="Times New Roman"/>
                            <w:sz w:val="24"/>
                            <w:lang w:val="en-GB"/>
                          </w:rPr>
                          <m:t>min</m:t>
                        </m:r>
                      </m:e>
                      <m:lim>
                        <m:r>
                          <w:rPr>
                            <w:rFonts w:ascii="Cambria Math" w:hAnsi="Cambria Math"/>
                            <w:sz w:val="24"/>
                            <w:lang w:val="en-GB"/>
                          </w:rPr>
                          <m:t>dc</m:t>
                        </m:r>
                      </m:lim>
                    </m:limLow>
                  </m:fName>
                  <m:e>
                    <m:sSub>
                      <m:sSubPr>
                        <m:ctrlPr>
                          <w:rPr>
                            <w:rFonts w:ascii="Cambria Math" w:hAnsi="Times New Roman"/>
                            <w:i/>
                            <w:sz w:val="24"/>
                            <w:lang w:val="en-GB"/>
                          </w:rPr>
                        </m:ctrlPr>
                      </m:sSubPr>
                      <m:e>
                        <m:r>
                          <w:rPr>
                            <w:rFonts w:ascii="Cambria Math" w:hAnsi="Cambria Math"/>
                            <w:sz w:val="24"/>
                            <w:lang w:val="en-GB"/>
                          </w:rPr>
                          <m:t>d</m:t>
                        </m:r>
                      </m:e>
                      <m:sub>
                        <m:r>
                          <w:rPr>
                            <w:rFonts w:ascii="Cambria Math" w:hAnsi="Cambria Math"/>
                            <w:sz w:val="24"/>
                            <w:lang w:val="en-GB"/>
                          </w:rPr>
                          <m:t>dc</m:t>
                        </m:r>
                      </m:sub>
                    </m:sSub>
                  </m:e>
                </m:func>
              </m:e>
            </m:d>
          </m:den>
        </m:f>
      </m:oMath>
      <w:r w:rsidRPr="00800E54">
        <w:rPr>
          <w:rFonts w:ascii="Times New Roman" w:hAnsi="Times New Roman"/>
          <w:sz w:val="24"/>
          <w:lang w:val="en-GB"/>
        </w:rPr>
        <w:t xml:space="preserve"> where </w:t>
      </w:r>
      <m:oMath>
        <m:sSub>
          <m:sSubPr>
            <m:ctrlPr>
              <w:rPr>
                <w:rFonts w:ascii="Cambria Math" w:hAnsi="Times New Roman"/>
                <w:i/>
                <w:sz w:val="24"/>
                <w:lang w:val="en-GB"/>
              </w:rPr>
            </m:ctrlPr>
          </m:sSubPr>
          <m:e>
            <m:r>
              <w:rPr>
                <w:rFonts w:ascii="Cambria Math" w:hAnsi="Cambria Math"/>
                <w:sz w:val="24"/>
                <w:lang w:val="en-GB"/>
              </w:rPr>
              <m:t>d</m:t>
            </m:r>
          </m:e>
          <m:sub>
            <m:r>
              <w:rPr>
                <w:rFonts w:ascii="Cambria Math" w:hAnsi="Cambria Math"/>
                <w:sz w:val="24"/>
                <w:lang w:val="en-GB"/>
              </w:rPr>
              <m:t>oc</m:t>
            </m:r>
          </m:sub>
        </m:sSub>
      </m:oMath>
      <w:r w:rsidRPr="00800E54">
        <w:rPr>
          <w:rFonts w:ascii="Times New Roman" w:hAnsi="Times New Roman"/>
          <w:sz w:val="24"/>
          <w:lang w:val="en-GB"/>
        </w:rPr>
        <w:t xml:space="preserve"> is the Euclidean distance of a case from the centroid of its own cluster, </w:t>
      </w:r>
      <m:oMath>
        <m:sSub>
          <m:sSubPr>
            <m:ctrlPr>
              <w:rPr>
                <w:rFonts w:ascii="Cambria Math" w:hAnsi="Times New Roman"/>
                <w:i/>
                <w:sz w:val="24"/>
                <w:lang w:val="en-GB"/>
              </w:rPr>
            </m:ctrlPr>
          </m:sSubPr>
          <m:e>
            <m:r>
              <w:rPr>
                <w:rFonts w:ascii="Cambria Math" w:hAnsi="Cambria Math"/>
                <w:sz w:val="24"/>
                <w:lang w:val="en-GB"/>
              </w:rPr>
              <m:t>d</m:t>
            </m:r>
          </m:e>
          <m:sub>
            <m:r>
              <w:rPr>
                <w:rFonts w:ascii="Cambria Math" w:hAnsi="Cambria Math"/>
                <w:sz w:val="24"/>
                <w:lang w:val="en-GB"/>
              </w:rPr>
              <m:t>dc</m:t>
            </m:r>
          </m:sub>
        </m:sSub>
      </m:oMath>
      <w:r w:rsidRPr="00800E54">
        <w:rPr>
          <w:rFonts w:ascii="Times New Roman" w:hAnsi="Times New Roman"/>
          <w:sz w:val="24"/>
          <w:lang w:val="en-GB"/>
        </w:rPr>
        <w:t xml:space="preserve"> that between the case and the centroid of a different cluster. Therefore high Silhouette values characterize clusterings with cohesive and separated clusters. However cases can occur in which clusters are well distinguished but not cohesive or separated (see for instance fig.1 in </w:t>
      </w:r>
      <w:r w:rsidR="007A6D31" w:rsidRPr="00800E54">
        <w:rPr>
          <w:rFonts w:ascii="Times New Roman" w:hAnsi="Times New Roman"/>
          <w:sz w:val="24"/>
          <w:lang w:val="en-GB"/>
        </w:rPr>
        <w:fldChar w:fldCharType="begin"/>
      </w:r>
      <w:r w:rsidRPr="00800E54">
        <w:rPr>
          <w:rFonts w:ascii="Times New Roman" w:hAnsi="Times New Roman"/>
          <w:sz w:val="24"/>
          <w:lang w:val="en-GB"/>
        </w:rPr>
        <w:instrText xml:space="preserve"> ADDIN EN.CITE &lt;EndNote&gt;&lt;Cite&gt;&lt;Author&gt;Lange&lt;/Author&gt;&lt;Year&gt;2004&lt;/Year&gt;&lt;RecNum&gt;3&lt;/RecNum&gt;&lt;DisplayText&gt;(Lange et al., 2004)&lt;/DisplayText&gt;&lt;record&gt;&lt;rec-number&gt;3&lt;/rec-number&gt;&lt;foreign-keys&gt;&lt;key app="EN" db-id="95vttf9r1tdfwmeazwcx5st8tdsaxwvzxr5z"&gt;3&lt;/key&gt;&lt;/foreign-keys&gt;&lt;ref-type name="Journal Article"&gt;17&lt;/ref-type&gt;&lt;contributors&gt;&lt;authors&gt;&lt;author&gt;Lange, Tilman&lt;/author&gt;&lt;author&gt;Volker, Roth&lt;/author&gt;&lt;author&gt;Braun, Mikio L.&lt;/author&gt;&lt;author&gt;Buhmann, Joachim M.&lt;/author&gt;&lt;/authors&gt;&lt;/contributors&gt;&lt;titles&gt;&lt;title&gt;Stability-Based Validation of Clustering Solutions&lt;/title&gt;&lt;secondary-title&gt;Neural Computation&lt;/secondary-title&gt;&lt;/titles&gt;&lt;periodical&gt;&lt;full-title&gt;Neural Computation&lt;/full-title&gt;&lt;/periodical&gt;&lt;pages&gt;1299-1323&lt;/pages&gt;&lt;volume&gt;16&lt;/volume&gt;&lt;number&gt;6&lt;/number&gt;&lt;keywords&gt;&lt;keyword&gt;NEURAL computersGENE expressionALGORITHMSSIGNAL processingDATA analysisALGEBRA&lt;/keyword&gt;&lt;/keywords&gt;&lt;dates&gt;&lt;year&gt;2004&lt;/year&gt;&lt;/dates&gt;&lt;publisher&gt;MIT Press&lt;/publisher&gt;&lt;isbn&gt;08997667&lt;/isbn&gt;&lt;accession-num&gt;12862481&lt;/accession-num&gt;&lt;work-type&gt;Article&lt;/work-type&gt;&lt;urls&gt;&lt;related-urls&gt;&lt;url&gt;https://ezp.napier.ac.uk/login?url=http://search.ebscohost.com/login.aspx?direct=true&amp;amp;db=pbh&amp;amp;AN=12862481&amp;amp;site=ehost-live&lt;/url&gt;&lt;/related-urls&gt;&lt;/urls&gt;&lt;electronic-resource-num&gt;10.1162/089976604773717621&lt;/electronic-resource-num&gt;&lt;remote-database-name&gt;pbh&lt;/remote-database-name&gt;&lt;remote-database-provider&gt;EBSCOhost&lt;/remote-database-provider&gt;&lt;/record&gt;&lt;/Cite&gt;&lt;/EndNote&gt;</w:instrText>
      </w:r>
      <w:r w:rsidR="007A6D31" w:rsidRPr="00800E54">
        <w:rPr>
          <w:rFonts w:ascii="Times New Roman" w:hAnsi="Times New Roman"/>
          <w:sz w:val="24"/>
          <w:lang w:val="en-GB"/>
        </w:rPr>
        <w:fldChar w:fldCharType="separate"/>
      </w:r>
      <w:r w:rsidRPr="00800E54">
        <w:rPr>
          <w:rFonts w:ascii="Times New Roman" w:hAnsi="Times New Roman"/>
          <w:noProof/>
          <w:sz w:val="24"/>
          <w:lang w:val="en-GB"/>
        </w:rPr>
        <w:t>(</w:t>
      </w:r>
      <w:hyperlink w:anchor="_ENREF_10" w:tooltip="Lange, 2004 #3" w:history="1">
        <w:r w:rsidRPr="00800E54">
          <w:rPr>
            <w:rFonts w:ascii="Times New Roman" w:hAnsi="Times New Roman"/>
            <w:noProof/>
            <w:sz w:val="24"/>
            <w:lang w:val="en-GB"/>
          </w:rPr>
          <w:t>Lange et al., 2004</w:t>
        </w:r>
      </w:hyperlink>
      <w:r w:rsidRPr="00800E54">
        <w:rPr>
          <w:rFonts w:ascii="Times New Roman" w:hAnsi="Times New Roman"/>
          <w:noProof/>
          <w:sz w:val="24"/>
          <w:lang w:val="en-GB"/>
        </w:rPr>
        <w:t>)</w:t>
      </w:r>
      <w:r w:rsidR="007A6D31" w:rsidRPr="00800E54">
        <w:rPr>
          <w:rFonts w:ascii="Times New Roman" w:hAnsi="Times New Roman"/>
          <w:sz w:val="24"/>
          <w:lang w:val="en-GB"/>
        </w:rPr>
        <w:fldChar w:fldCharType="end"/>
      </w:r>
      <w:r w:rsidRPr="00800E54">
        <w:rPr>
          <w:rFonts w:ascii="Times New Roman" w:hAnsi="Times New Roman"/>
          <w:sz w:val="24"/>
          <w:lang w:val="en-GB"/>
        </w:rPr>
        <w:t xml:space="preserve">). Since no knowledge on cluster shape is available prior to clustering, we consider the Silhouette index only as one of the indicators of the relative goodness-of-fit of different models. In the stability analysis models have been evaluated with a number of clusters ranging from 2 to 6. The Classification Tree technique fails in detecting the rules underpinning </w:t>
      </w:r>
      <m:oMath>
        <m:sSubSup>
          <m:sSubSupPr>
            <m:ctrlPr>
              <w:rPr>
                <w:rFonts w:ascii="Cambria Math" w:hAnsi="Times New Roman"/>
                <w:i/>
                <w:sz w:val="24"/>
                <w:lang w:val="en-GB"/>
              </w:rPr>
            </m:ctrlPr>
          </m:sSubSupPr>
          <m:e>
            <m:r>
              <m:rPr>
                <m:scr m:val="script"/>
              </m:rPr>
              <w:rPr>
                <w:rFonts w:ascii="Cambria Math" w:hAnsi="Cambria Math"/>
                <w:sz w:val="24"/>
                <w:lang w:val="en-GB"/>
              </w:rPr>
              <m:t>C</m:t>
            </m:r>
          </m:e>
          <m:sub>
            <m:r>
              <w:rPr>
                <w:rFonts w:ascii="Cambria Math" w:hAnsi="Times New Roman"/>
                <w:sz w:val="24"/>
                <w:lang w:val="en-GB"/>
              </w:rPr>
              <m:t>1</m:t>
            </m:r>
          </m:sub>
          <m:sup>
            <m:r>
              <w:rPr>
                <w:rFonts w:ascii="Cambria Math" w:hAnsi="Cambria Math"/>
                <w:sz w:val="24"/>
                <w:lang w:val="en-GB"/>
              </w:rPr>
              <m:t>TwS</m:t>
            </m:r>
          </m:sup>
        </m:sSubSup>
      </m:oMath>
      <w:r w:rsidRPr="00800E54">
        <w:rPr>
          <w:rFonts w:ascii="Times New Roman" w:hAnsi="Times New Roman"/>
          <w:sz w:val="24"/>
          <w:lang w:val="en-GB"/>
        </w:rPr>
        <w:t xml:space="preserve"> for the models with number of clusters higher than 4 (</w:t>
      </w:r>
      <w:r w:rsidR="00202689" w:rsidRPr="00800E54">
        <w:rPr>
          <w:lang w:val="en-GB"/>
        </w:rPr>
        <w:t>Figure 4</w:t>
      </w:r>
      <w:r w:rsidRPr="00800E54">
        <w:rPr>
          <w:rFonts w:ascii="Times New Roman" w:hAnsi="Times New Roman"/>
          <w:sz w:val="24"/>
          <w:lang w:val="en-GB"/>
        </w:rPr>
        <w:t>c). Therefore for such models ARI cannot be considered reliable. Among the models with lower number of clusters, that with 2 clusters is clearly the most stable one (</w:t>
      </w:r>
      <w:r w:rsidR="00202689" w:rsidRPr="00800E54">
        <w:rPr>
          <w:lang w:val="en-GB"/>
        </w:rPr>
        <w:t>Figure 4</w:t>
      </w:r>
      <w:r w:rsidRPr="00800E54">
        <w:rPr>
          <w:rFonts w:ascii="Times New Roman" w:hAnsi="Times New Roman"/>
          <w:sz w:val="24"/>
          <w:lang w:val="en-GB"/>
        </w:rPr>
        <w:t>d). ARI is also reasonably good in absolute terms. In conclusion, the 2 cluster model is chosen for the demand variables. Note that the clustering reported in the main text is calculated using all available data.</w:t>
      </w:r>
    </w:p>
    <w:p w:rsidR="00F10F6A" w:rsidRPr="00800E54" w:rsidRDefault="00F10F6A" w:rsidP="00F10F6A">
      <w:pPr>
        <w:rPr>
          <w:rFonts w:ascii="Times New Roman" w:hAnsi="Times New Roman"/>
          <w:sz w:val="24"/>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4621"/>
        <w:gridCol w:w="4621"/>
      </w:tblGrid>
      <w:tr w:rsidR="00F10F6A" w:rsidRPr="00800E54" w:rsidTr="00BF7E78">
        <w:trPr>
          <w:cantSplit/>
        </w:trPr>
        <w:tc>
          <w:tcPr>
            <w:tcW w:w="4621" w:type="dxa"/>
            <w:vAlign w:val="center"/>
          </w:tcPr>
          <w:p w:rsidR="00F10F6A" w:rsidRPr="00800E54" w:rsidRDefault="00F10F6A" w:rsidP="009140EC">
            <w:pPr>
              <w:spacing w:line="240" w:lineRule="exact"/>
              <w:jc w:val="center"/>
              <w:rPr>
                <w:b/>
                <w:lang w:val="en-GB"/>
              </w:rPr>
            </w:pPr>
            <w:r w:rsidRPr="00800E54">
              <w:rPr>
                <w:b/>
                <w:lang w:val="en-GB"/>
              </w:rPr>
              <w:lastRenderedPageBreak/>
              <w:t>(a)</w:t>
            </w:r>
          </w:p>
          <w:p w:rsidR="00F10F6A" w:rsidRPr="00800E54" w:rsidRDefault="00AA0385" w:rsidP="009140EC">
            <w:pPr>
              <w:jc w:val="center"/>
              <w:rPr>
                <w:lang w:val="en-GB"/>
              </w:rPr>
            </w:pPr>
            <w:r w:rsidRPr="00800E54">
              <w:rPr>
                <w:noProof/>
                <w:lang w:val="en-GB" w:eastAsia="en-GB"/>
              </w:rPr>
              <w:drawing>
                <wp:inline distT="0" distB="0" distL="0" distR="0" wp14:anchorId="6B43F30D" wp14:editId="28D03B80">
                  <wp:extent cx="2700000" cy="162953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000" cy="1629537"/>
                          </a:xfrm>
                          <a:prstGeom prst="rect">
                            <a:avLst/>
                          </a:prstGeom>
                          <a:noFill/>
                        </pic:spPr>
                      </pic:pic>
                    </a:graphicData>
                  </a:graphic>
                </wp:inline>
              </w:drawing>
            </w:r>
          </w:p>
        </w:tc>
        <w:tc>
          <w:tcPr>
            <w:tcW w:w="4621" w:type="dxa"/>
            <w:vAlign w:val="center"/>
          </w:tcPr>
          <w:p w:rsidR="00F10F6A" w:rsidRPr="00800E54" w:rsidRDefault="00F10F6A" w:rsidP="009140EC">
            <w:pPr>
              <w:jc w:val="center"/>
              <w:rPr>
                <w:b/>
                <w:lang w:val="en-GB"/>
              </w:rPr>
            </w:pPr>
            <w:r w:rsidRPr="00800E54">
              <w:rPr>
                <w:b/>
                <w:lang w:val="en-GB"/>
              </w:rPr>
              <w:t>(b)</w:t>
            </w:r>
          </w:p>
          <w:p w:rsidR="00F10F6A" w:rsidRPr="00800E54" w:rsidRDefault="00AA0385" w:rsidP="009140EC">
            <w:pPr>
              <w:jc w:val="center"/>
              <w:rPr>
                <w:lang w:val="en-GB"/>
              </w:rPr>
            </w:pPr>
            <w:r w:rsidRPr="00800E54">
              <w:rPr>
                <w:noProof/>
                <w:lang w:val="en-GB" w:eastAsia="en-GB"/>
              </w:rPr>
              <w:drawing>
                <wp:inline distT="0" distB="0" distL="0" distR="0" wp14:anchorId="5787680D" wp14:editId="00AFB0AA">
                  <wp:extent cx="2700000" cy="162299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0000" cy="1622992"/>
                          </a:xfrm>
                          <a:prstGeom prst="rect">
                            <a:avLst/>
                          </a:prstGeom>
                          <a:noFill/>
                        </pic:spPr>
                      </pic:pic>
                    </a:graphicData>
                  </a:graphic>
                </wp:inline>
              </w:drawing>
            </w:r>
          </w:p>
        </w:tc>
      </w:tr>
      <w:tr w:rsidR="00F10F6A" w:rsidRPr="00800E54" w:rsidTr="00BF7E78">
        <w:trPr>
          <w:cantSplit/>
        </w:trPr>
        <w:tc>
          <w:tcPr>
            <w:tcW w:w="4621" w:type="dxa"/>
            <w:vAlign w:val="center"/>
          </w:tcPr>
          <w:p w:rsidR="00F10F6A" w:rsidRPr="00800E54" w:rsidRDefault="00F10F6A" w:rsidP="009140EC">
            <w:pPr>
              <w:jc w:val="center"/>
              <w:rPr>
                <w:b/>
                <w:lang w:val="en-GB"/>
              </w:rPr>
            </w:pPr>
            <w:r w:rsidRPr="00800E54">
              <w:rPr>
                <w:b/>
                <w:lang w:val="en-GB"/>
              </w:rPr>
              <w:t>(c)</w:t>
            </w:r>
          </w:p>
          <w:p w:rsidR="00F10F6A" w:rsidRPr="00800E54" w:rsidRDefault="00AA0385" w:rsidP="009140EC">
            <w:pPr>
              <w:jc w:val="center"/>
              <w:rPr>
                <w:lang w:val="en-GB"/>
              </w:rPr>
            </w:pPr>
            <w:r w:rsidRPr="00800E54">
              <w:rPr>
                <w:noProof/>
                <w:lang w:val="en-GB" w:eastAsia="en-GB"/>
              </w:rPr>
              <w:drawing>
                <wp:inline distT="0" distB="0" distL="0" distR="0" wp14:anchorId="6F19197C" wp14:editId="30F39EF0">
                  <wp:extent cx="2700000" cy="161925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000" cy="1619252"/>
                          </a:xfrm>
                          <a:prstGeom prst="rect">
                            <a:avLst/>
                          </a:prstGeom>
                          <a:noFill/>
                        </pic:spPr>
                      </pic:pic>
                    </a:graphicData>
                  </a:graphic>
                </wp:inline>
              </w:drawing>
            </w:r>
          </w:p>
        </w:tc>
        <w:tc>
          <w:tcPr>
            <w:tcW w:w="4621" w:type="dxa"/>
            <w:vAlign w:val="center"/>
          </w:tcPr>
          <w:p w:rsidR="00F10F6A" w:rsidRPr="00800E54" w:rsidRDefault="00F10F6A" w:rsidP="009140EC">
            <w:pPr>
              <w:jc w:val="center"/>
              <w:rPr>
                <w:b/>
                <w:lang w:val="en-GB"/>
              </w:rPr>
            </w:pPr>
            <w:r w:rsidRPr="00800E54">
              <w:rPr>
                <w:b/>
                <w:lang w:val="en-GB"/>
              </w:rPr>
              <w:t>(d)</w:t>
            </w:r>
          </w:p>
          <w:p w:rsidR="00F10F6A" w:rsidRPr="00800E54" w:rsidRDefault="00AA0385" w:rsidP="009140EC">
            <w:pPr>
              <w:keepNext/>
              <w:jc w:val="center"/>
              <w:rPr>
                <w:lang w:val="en-GB"/>
              </w:rPr>
            </w:pPr>
            <w:r w:rsidRPr="00800E54">
              <w:rPr>
                <w:noProof/>
                <w:lang w:val="en-GB" w:eastAsia="en-GB"/>
              </w:rPr>
              <w:drawing>
                <wp:inline distT="0" distB="0" distL="0" distR="0" wp14:anchorId="0D2529FE" wp14:editId="65C8AFB7">
                  <wp:extent cx="2700000" cy="161925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0000" cy="1619252"/>
                          </a:xfrm>
                          <a:prstGeom prst="rect">
                            <a:avLst/>
                          </a:prstGeom>
                          <a:noFill/>
                        </pic:spPr>
                      </pic:pic>
                    </a:graphicData>
                  </a:graphic>
                </wp:inline>
              </w:drawing>
            </w:r>
          </w:p>
        </w:tc>
      </w:tr>
    </w:tbl>
    <w:p w:rsidR="00F10F6A" w:rsidRPr="00800E54" w:rsidRDefault="00F10F6A" w:rsidP="00F10F6A">
      <w:pPr>
        <w:jc w:val="center"/>
        <w:outlineLvl w:val="0"/>
        <w:rPr>
          <w:rFonts w:ascii="Times New Roman" w:hAnsi="Times New Roman"/>
          <w:sz w:val="24"/>
          <w:lang w:val="en-GB"/>
        </w:rPr>
      </w:pPr>
      <w:r w:rsidRPr="00800E54">
        <w:rPr>
          <w:rFonts w:ascii="Times New Roman" w:hAnsi="Times New Roman"/>
          <w:sz w:val="24"/>
          <w:lang w:val="en-GB"/>
        </w:rPr>
        <w:t xml:space="preserve">Figure </w:t>
      </w:r>
      <w:r w:rsidR="00D13CC4" w:rsidRPr="00800E54">
        <w:rPr>
          <w:rFonts w:ascii="Times New Roman" w:hAnsi="Times New Roman"/>
          <w:sz w:val="24"/>
          <w:lang w:val="en-GB"/>
        </w:rPr>
        <w:t>5</w:t>
      </w:r>
      <w:r w:rsidRPr="00800E54">
        <w:rPr>
          <w:rFonts w:ascii="Times New Roman" w:hAnsi="Times New Roman"/>
          <w:sz w:val="24"/>
          <w:lang w:val="en-GB"/>
        </w:rPr>
        <w:t>. Performance indicators in clustering demand variables - (a) BIC measures, (c) Silhouette index, (c) Misclassification Risk, (d) Adjusted Rand Index</w:t>
      </w:r>
      <w:r w:rsidR="00B96C0F" w:rsidRPr="00800E54">
        <w:rPr>
          <w:rFonts w:ascii="Times New Roman" w:hAnsi="Times New Roman"/>
          <w:sz w:val="24"/>
          <w:lang w:val="en-GB"/>
        </w:rPr>
        <w:t xml:space="preserve"> (SPSS 18)</w:t>
      </w:r>
    </w:p>
    <w:p w:rsidR="00F10F6A" w:rsidRPr="00800E54" w:rsidRDefault="00F10F6A" w:rsidP="00F10F6A">
      <w:pPr>
        <w:rPr>
          <w:rFonts w:ascii="Times New Roman" w:hAnsi="Times New Roman"/>
          <w:sz w:val="24"/>
          <w:lang w:val="en-GB"/>
        </w:rPr>
      </w:pPr>
    </w:p>
    <w:p w:rsidR="00F10F6A" w:rsidRPr="00800E54" w:rsidRDefault="00F10F6A" w:rsidP="00F10F6A">
      <w:pPr>
        <w:rPr>
          <w:rFonts w:ascii="Times New Roman" w:hAnsi="Times New Roman"/>
          <w:sz w:val="24"/>
          <w:lang w:val="en-GB"/>
        </w:rPr>
      </w:pPr>
    </w:p>
    <w:p w:rsidR="002B4B8E" w:rsidRPr="00800E54" w:rsidRDefault="002B4B8E" w:rsidP="00F10F6A">
      <w:pPr>
        <w:rPr>
          <w:rFonts w:ascii="Times New Roman" w:hAnsi="Times New Roman"/>
          <w:sz w:val="24"/>
          <w:lang w:val="en-GB"/>
        </w:rPr>
      </w:pPr>
    </w:p>
    <w:p w:rsidR="00F10F6A" w:rsidRPr="00800E54" w:rsidRDefault="00F10F6A" w:rsidP="00F10F6A">
      <w:pPr>
        <w:autoSpaceDE w:val="0"/>
        <w:autoSpaceDN w:val="0"/>
        <w:adjustRightInd w:val="0"/>
        <w:rPr>
          <w:rFonts w:ascii="Times New Roman" w:hAnsi="Times New Roman"/>
          <w:sz w:val="24"/>
          <w:lang w:val="en-GB"/>
        </w:rPr>
      </w:pPr>
      <w:r w:rsidRPr="00800E54">
        <w:rPr>
          <w:rFonts w:ascii="Times New Roman" w:hAnsi="Times New Roman"/>
          <w:b/>
          <w:kern w:val="0"/>
          <w:sz w:val="24"/>
          <w:lang w:val="en-GB"/>
        </w:rPr>
        <w:t>Behaviour clusters</w:t>
      </w:r>
    </w:p>
    <w:p w:rsidR="00F10F6A" w:rsidRPr="00800E54" w:rsidRDefault="00F10F6A" w:rsidP="00F10F6A">
      <w:pPr>
        <w:rPr>
          <w:rFonts w:ascii="Times New Roman" w:hAnsi="Times New Roman"/>
          <w:sz w:val="32"/>
          <w:lang w:val="en-GB"/>
        </w:rPr>
      </w:pPr>
    </w:p>
    <w:p w:rsidR="00F10F6A" w:rsidRPr="00800E54" w:rsidRDefault="00F10F6A" w:rsidP="00F10F6A">
      <w:pPr>
        <w:ind w:firstLineChars="250" w:firstLine="600"/>
        <w:rPr>
          <w:rFonts w:ascii="Times New Roman" w:hAnsi="Times New Roman"/>
          <w:sz w:val="24"/>
          <w:lang w:val="en-GB"/>
        </w:rPr>
      </w:pPr>
      <w:r w:rsidRPr="00800E54">
        <w:rPr>
          <w:rFonts w:ascii="Times New Roman" w:hAnsi="Times New Roman"/>
          <w:sz w:val="24"/>
          <w:lang w:val="en-GB"/>
        </w:rPr>
        <w:t>In the case of the behaviour clusters, SPSS supports the choice of the 4 cluster model with both AIC and BIC (</w:t>
      </w:r>
      <w:r w:rsidR="00202689" w:rsidRPr="00800E54">
        <w:rPr>
          <w:lang w:val="en-GB"/>
        </w:rPr>
        <w:t>Figure 5</w:t>
      </w:r>
      <w:r w:rsidRPr="00800E54">
        <w:rPr>
          <w:rFonts w:ascii="Times New Roman" w:hAnsi="Times New Roman"/>
          <w:sz w:val="24"/>
          <w:lang w:val="en-GB"/>
        </w:rPr>
        <w:t>a). However the 4 cluster model performs only slightly better than the 6 cluster one. The Silhouette index are in the range of “fair” models (0.2000 – 0.5000) for all the models. The Silhouette of the 6 cluster model is slightly better than that of the 4 cluster one (</w:t>
      </w:r>
      <w:r w:rsidR="00202689" w:rsidRPr="00800E54">
        <w:rPr>
          <w:lang w:val="en-GB"/>
        </w:rPr>
        <w:t>Figure 5</w:t>
      </w:r>
      <w:r w:rsidRPr="00800E54">
        <w:rPr>
          <w:rFonts w:ascii="Times New Roman" w:hAnsi="Times New Roman"/>
          <w:sz w:val="24"/>
          <w:lang w:val="en-GB"/>
        </w:rPr>
        <w:t>b). Also in the case of behaviour clusters MR (as expected) tends to increase with the number of clusters, with the exclusion of the 2 cluster model for which the Classification Tree is particularly unreliable. However it has to be observed that the average MR is not high in any case and that the confidence intervals of model with 4, 5 and 6 clusters overlap in a relevant way (</w:t>
      </w:r>
      <w:r w:rsidR="00202689" w:rsidRPr="00800E54">
        <w:rPr>
          <w:lang w:val="en-GB"/>
        </w:rPr>
        <w:t>Figure 5</w:t>
      </w:r>
      <w:r w:rsidRPr="00800E54">
        <w:rPr>
          <w:rFonts w:ascii="Times New Roman" w:hAnsi="Times New Roman"/>
          <w:sz w:val="24"/>
          <w:lang w:val="en-GB"/>
        </w:rPr>
        <w:t>c). Therefore ARI can be considered reliable and used to discriminate models according to their stability. The model with 6 clusters is clearly more stable than the other (</w:t>
      </w:r>
      <w:r w:rsidR="00202689" w:rsidRPr="00800E54">
        <w:rPr>
          <w:lang w:val="en-GB"/>
        </w:rPr>
        <w:t>Figure 5</w:t>
      </w:r>
      <w:r w:rsidRPr="00800E54">
        <w:rPr>
          <w:rFonts w:ascii="Times New Roman" w:hAnsi="Times New Roman"/>
          <w:sz w:val="24"/>
          <w:lang w:val="en-GB"/>
        </w:rPr>
        <w:t>d). Since one of the three criteria (stability) definitely favours the 6 cluster model and the other two (BIC-based heuristic and Silhouette) provide opposite and not strong evidence, the 6 cluster model is preferred by SPSS.</w:t>
      </w:r>
    </w:p>
    <w:p w:rsidR="00F10F6A" w:rsidRPr="00800E54" w:rsidRDefault="00F10F6A" w:rsidP="00F10F6A">
      <w:pPr>
        <w:rPr>
          <w:rFonts w:ascii="Times New Roman" w:hAnsi="Times New Roman"/>
          <w:sz w:val="24"/>
          <w:lang w:val="en-GB"/>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CellMar>
          <w:top w:w="57" w:type="dxa"/>
          <w:left w:w="28" w:type="dxa"/>
          <w:bottom w:w="57" w:type="dxa"/>
          <w:right w:w="28" w:type="dxa"/>
        </w:tblCellMar>
        <w:tblLook w:val="04A0" w:firstRow="1" w:lastRow="0" w:firstColumn="1" w:lastColumn="0" w:noHBand="0" w:noVBand="1"/>
      </w:tblPr>
      <w:tblGrid>
        <w:gridCol w:w="4563"/>
        <w:gridCol w:w="4563"/>
      </w:tblGrid>
      <w:tr w:rsidR="00F10F6A" w:rsidRPr="00800E54" w:rsidTr="006965F3">
        <w:trPr>
          <w:cantSplit/>
        </w:trPr>
        <w:tc>
          <w:tcPr>
            <w:tcW w:w="2500" w:type="pct"/>
            <w:vAlign w:val="center"/>
          </w:tcPr>
          <w:p w:rsidR="00F10F6A" w:rsidRPr="00800E54" w:rsidRDefault="00F10F6A" w:rsidP="009140EC">
            <w:pPr>
              <w:jc w:val="center"/>
              <w:rPr>
                <w:b/>
                <w:lang w:val="en-GB"/>
              </w:rPr>
            </w:pPr>
            <w:r w:rsidRPr="00800E54">
              <w:rPr>
                <w:b/>
                <w:lang w:val="en-GB"/>
              </w:rPr>
              <w:lastRenderedPageBreak/>
              <w:t>(a)</w:t>
            </w:r>
          </w:p>
          <w:p w:rsidR="00F10F6A" w:rsidRPr="00800E54" w:rsidRDefault="00AA0385" w:rsidP="009140EC">
            <w:pPr>
              <w:jc w:val="center"/>
              <w:rPr>
                <w:lang w:val="en-GB"/>
              </w:rPr>
            </w:pPr>
            <w:r w:rsidRPr="00800E54">
              <w:rPr>
                <w:noProof/>
                <w:lang w:val="en-GB" w:eastAsia="en-GB"/>
              </w:rPr>
              <w:drawing>
                <wp:inline distT="0" distB="0" distL="0" distR="0" wp14:anchorId="5F09F365" wp14:editId="1BCB4375">
                  <wp:extent cx="2700000" cy="162727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0000" cy="1627274"/>
                          </a:xfrm>
                          <a:prstGeom prst="rect">
                            <a:avLst/>
                          </a:prstGeom>
                          <a:noFill/>
                        </pic:spPr>
                      </pic:pic>
                    </a:graphicData>
                  </a:graphic>
                </wp:inline>
              </w:drawing>
            </w:r>
          </w:p>
        </w:tc>
        <w:tc>
          <w:tcPr>
            <w:tcW w:w="2500" w:type="pct"/>
            <w:vAlign w:val="center"/>
          </w:tcPr>
          <w:p w:rsidR="00F10F6A" w:rsidRPr="00800E54" w:rsidRDefault="00F10F6A" w:rsidP="009140EC">
            <w:pPr>
              <w:jc w:val="center"/>
              <w:rPr>
                <w:b/>
                <w:lang w:val="en-GB"/>
              </w:rPr>
            </w:pPr>
            <w:r w:rsidRPr="00800E54">
              <w:rPr>
                <w:b/>
                <w:lang w:val="en-GB"/>
              </w:rPr>
              <w:t>(b)</w:t>
            </w:r>
          </w:p>
          <w:p w:rsidR="006965F3" w:rsidRPr="00800E54" w:rsidRDefault="00AA0385" w:rsidP="006965F3">
            <w:pPr>
              <w:jc w:val="center"/>
              <w:rPr>
                <w:lang w:val="en-GB"/>
              </w:rPr>
            </w:pPr>
            <w:r w:rsidRPr="00800E54">
              <w:rPr>
                <w:noProof/>
                <w:lang w:val="en-GB" w:eastAsia="en-GB"/>
              </w:rPr>
              <w:drawing>
                <wp:inline distT="0" distB="0" distL="0" distR="0" wp14:anchorId="5FE7AA35" wp14:editId="557990C3">
                  <wp:extent cx="2700000" cy="16229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0000" cy="1622992"/>
                          </a:xfrm>
                          <a:prstGeom prst="rect">
                            <a:avLst/>
                          </a:prstGeom>
                          <a:noFill/>
                        </pic:spPr>
                      </pic:pic>
                    </a:graphicData>
                  </a:graphic>
                </wp:inline>
              </w:drawing>
            </w:r>
          </w:p>
        </w:tc>
      </w:tr>
      <w:tr w:rsidR="00F10F6A" w:rsidRPr="00800E54" w:rsidTr="006965F3">
        <w:trPr>
          <w:cantSplit/>
        </w:trPr>
        <w:tc>
          <w:tcPr>
            <w:tcW w:w="2500" w:type="pct"/>
            <w:vAlign w:val="center"/>
          </w:tcPr>
          <w:p w:rsidR="00F10F6A" w:rsidRPr="00800E54" w:rsidRDefault="00F10F6A" w:rsidP="009140EC">
            <w:pPr>
              <w:jc w:val="center"/>
              <w:rPr>
                <w:b/>
                <w:noProof/>
                <w:lang w:val="en-GB" w:eastAsia="en-GB"/>
              </w:rPr>
            </w:pPr>
            <w:r w:rsidRPr="00800E54">
              <w:rPr>
                <w:b/>
                <w:noProof/>
                <w:lang w:val="en-GB" w:eastAsia="en-GB"/>
              </w:rPr>
              <w:t>(c)</w:t>
            </w:r>
          </w:p>
          <w:p w:rsidR="00F10F6A" w:rsidRPr="00800E54" w:rsidRDefault="00AA0385" w:rsidP="009140EC">
            <w:pPr>
              <w:jc w:val="center"/>
              <w:rPr>
                <w:noProof/>
                <w:lang w:val="en-GB" w:eastAsia="en-GB"/>
              </w:rPr>
            </w:pPr>
            <w:r w:rsidRPr="00800E54">
              <w:rPr>
                <w:noProof/>
                <w:lang w:val="en-GB" w:eastAsia="en-GB"/>
              </w:rPr>
              <w:drawing>
                <wp:inline distT="0" distB="0" distL="0" distR="0" wp14:anchorId="33B37D0E" wp14:editId="07D1515D">
                  <wp:extent cx="2700000" cy="16192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0000" cy="1619252"/>
                          </a:xfrm>
                          <a:prstGeom prst="rect">
                            <a:avLst/>
                          </a:prstGeom>
                          <a:noFill/>
                        </pic:spPr>
                      </pic:pic>
                    </a:graphicData>
                  </a:graphic>
                </wp:inline>
              </w:drawing>
            </w:r>
          </w:p>
        </w:tc>
        <w:tc>
          <w:tcPr>
            <w:tcW w:w="2500" w:type="pct"/>
            <w:vAlign w:val="center"/>
          </w:tcPr>
          <w:p w:rsidR="00F10F6A" w:rsidRPr="00800E54" w:rsidRDefault="00F10F6A" w:rsidP="009140EC">
            <w:pPr>
              <w:jc w:val="center"/>
              <w:rPr>
                <w:b/>
                <w:noProof/>
                <w:lang w:val="en-GB" w:eastAsia="en-GB"/>
              </w:rPr>
            </w:pPr>
            <w:r w:rsidRPr="00800E54">
              <w:rPr>
                <w:b/>
                <w:noProof/>
                <w:lang w:val="en-GB" w:eastAsia="en-GB"/>
              </w:rPr>
              <w:t>(d)</w:t>
            </w:r>
          </w:p>
          <w:p w:rsidR="006965F3" w:rsidRPr="00800E54" w:rsidRDefault="00AA0385" w:rsidP="006965F3">
            <w:pPr>
              <w:keepNext/>
              <w:jc w:val="center"/>
              <w:rPr>
                <w:noProof/>
                <w:lang w:val="en-GB" w:eastAsia="en-GB"/>
              </w:rPr>
            </w:pPr>
            <w:r w:rsidRPr="00800E54">
              <w:rPr>
                <w:noProof/>
                <w:lang w:val="en-GB" w:eastAsia="en-GB"/>
              </w:rPr>
              <w:drawing>
                <wp:inline distT="0" distB="0" distL="0" distR="0" wp14:anchorId="042B1702" wp14:editId="041E6060">
                  <wp:extent cx="2700000" cy="161925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0000" cy="1619252"/>
                          </a:xfrm>
                          <a:prstGeom prst="rect">
                            <a:avLst/>
                          </a:prstGeom>
                          <a:noFill/>
                        </pic:spPr>
                      </pic:pic>
                    </a:graphicData>
                  </a:graphic>
                </wp:inline>
              </w:drawing>
            </w:r>
          </w:p>
        </w:tc>
      </w:tr>
    </w:tbl>
    <w:p w:rsidR="00F10F6A" w:rsidRPr="00800E54" w:rsidRDefault="00F10F6A" w:rsidP="00F10F6A">
      <w:pPr>
        <w:rPr>
          <w:rFonts w:ascii="Times New Roman" w:hAnsi="Times New Roman"/>
          <w:sz w:val="24"/>
          <w:lang w:val="en-GB"/>
        </w:rPr>
      </w:pPr>
      <w:r w:rsidRPr="00800E54">
        <w:rPr>
          <w:rFonts w:ascii="Times New Roman" w:hAnsi="Times New Roman"/>
          <w:sz w:val="24"/>
          <w:lang w:val="en-GB"/>
        </w:rPr>
        <w:t xml:space="preserve">Figure </w:t>
      </w:r>
      <w:r w:rsidR="00D13CC4" w:rsidRPr="00800E54">
        <w:rPr>
          <w:rFonts w:ascii="Times New Roman" w:hAnsi="Times New Roman"/>
          <w:sz w:val="24"/>
          <w:lang w:val="en-GB"/>
        </w:rPr>
        <w:t>6</w:t>
      </w:r>
      <w:r w:rsidRPr="00800E54">
        <w:rPr>
          <w:rFonts w:ascii="Times New Roman" w:hAnsi="Times New Roman"/>
          <w:sz w:val="24"/>
          <w:lang w:val="en-GB"/>
        </w:rPr>
        <w:t>. Performance indicators in clustering demand variables - (a) BIC measures, (c) Silhouette index, (c) Misclassification Risk, (d) Adjusted Rand Index</w:t>
      </w:r>
      <w:r w:rsidR="00B96C0F" w:rsidRPr="00800E54">
        <w:rPr>
          <w:rFonts w:ascii="Times New Roman" w:hAnsi="Times New Roman"/>
          <w:sz w:val="24"/>
          <w:lang w:val="en-GB"/>
        </w:rPr>
        <w:t xml:space="preserve"> (SPSS 18)</w:t>
      </w:r>
    </w:p>
    <w:p w:rsidR="00F10F6A" w:rsidRPr="00800E54" w:rsidRDefault="00F10F6A" w:rsidP="00F10F6A">
      <w:pPr>
        <w:rPr>
          <w:rFonts w:ascii="Times New Roman" w:hAnsi="Times New Roman"/>
          <w:sz w:val="24"/>
          <w:lang w:val="en-GB"/>
        </w:rPr>
      </w:pPr>
    </w:p>
    <w:p w:rsidR="00F10F6A" w:rsidRPr="00800E54" w:rsidRDefault="00F10F6A" w:rsidP="00724947">
      <w:pPr>
        <w:rPr>
          <w:rFonts w:ascii="Times New Roman" w:hAnsi="Times New Roman"/>
          <w:sz w:val="24"/>
          <w:lang w:val="en-GB"/>
        </w:rPr>
      </w:pPr>
    </w:p>
    <w:p w:rsidR="00DF13AE" w:rsidRPr="00800E54" w:rsidRDefault="00DF13AE" w:rsidP="00DF13AE">
      <w:pPr>
        <w:ind w:leftChars="100" w:left="210" w:rightChars="133" w:right="279"/>
        <w:rPr>
          <w:rFonts w:ascii="Times New Roman" w:hAnsi="Times New Roman"/>
          <w:b/>
          <w:sz w:val="24"/>
          <w:lang w:val="en-GB"/>
        </w:rPr>
      </w:pPr>
      <w:r w:rsidRPr="00800E54">
        <w:rPr>
          <w:rFonts w:ascii="Times New Roman" w:hAnsi="Times New Roman"/>
          <w:b/>
          <w:sz w:val="24"/>
          <w:lang w:val="en-GB"/>
        </w:rPr>
        <w:t>REFERENCES</w:t>
      </w:r>
    </w:p>
    <w:p w:rsidR="00DF13AE" w:rsidRPr="00800E54" w:rsidRDefault="00DF13AE" w:rsidP="00DF13AE">
      <w:pPr>
        <w:ind w:leftChars="100" w:left="210" w:rightChars="133" w:right="279"/>
        <w:rPr>
          <w:rFonts w:ascii="Times New Roman" w:hAnsi="Times New Roman"/>
          <w:sz w:val="24"/>
          <w:lang w:val="en-GB"/>
        </w:rPr>
      </w:pP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Bel</w:t>
      </w:r>
      <w:r w:rsidR="00877931">
        <w:rPr>
          <w:rFonts w:ascii="Times New Roman" w:hAnsi="Times New Roman"/>
          <w:kern w:val="0"/>
          <w:sz w:val="24"/>
          <w:lang w:val="en-GB"/>
        </w:rPr>
        <w:t xml:space="preserve"> </w:t>
      </w:r>
      <w:r w:rsidRPr="00800E54">
        <w:rPr>
          <w:rFonts w:ascii="Times New Roman" w:hAnsi="Times New Roman"/>
          <w:kern w:val="0"/>
          <w:sz w:val="24"/>
          <w:lang w:val="en-GB"/>
        </w:rPr>
        <w:t>Mufti, G., Bertrand, P. and El</w:t>
      </w:r>
      <w:r w:rsidR="00877931">
        <w:rPr>
          <w:rFonts w:ascii="Times New Roman" w:hAnsi="Times New Roman"/>
          <w:kern w:val="0"/>
          <w:sz w:val="24"/>
          <w:lang w:val="en-GB"/>
        </w:rPr>
        <w:t xml:space="preserve"> </w:t>
      </w:r>
      <w:r w:rsidRPr="00800E54">
        <w:rPr>
          <w:rFonts w:ascii="Times New Roman" w:hAnsi="Times New Roman"/>
          <w:kern w:val="0"/>
          <w:sz w:val="24"/>
          <w:lang w:val="en-GB"/>
        </w:rPr>
        <w:t xml:space="preserve">Moubarki, L. (2005) Determining the number of Groups from Measures of Cluster Validity, </w:t>
      </w:r>
      <w:r w:rsidR="00877931" w:rsidRPr="00877931">
        <w:rPr>
          <w:rFonts w:ascii="Times New Roman" w:hAnsi="Times New Roman"/>
          <w:iCs/>
          <w:kern w:val="0"/>
          <w:sz w:val="24"/>
        </w:rPr>
        <w:t>Proceedings of International Symposium on Applied Stochastic Models and Data Analysis</w:t>
      </w:r>
      <w:r w:rsidR="00877931" w:rsidRPr="00877931">
        <w:rPr>
          <w:rFonts w:ascii="Times New Roman" w:hAnsi="Times New Roman"/>
          <w:kern w:val="0"/>
          <w:sz w:val="24"/>
          <w:lang w:val="en-GB"/>
        </w:rPr>
        <w:t>,</w:t>
      </w:r>
      <w:r w:rsidR="00877931">
        <w:rPr>
          <w:rFonts w:ascii="Times New Roman" w:hAnsi="Times New Roman"/>
          <w:kern w:val="0"/>
          <w:sz w:val="24"/>
          <w:lang w:val="en-GB"/>
        </w:rPr>
        <w:t xml:space="preserve"> </w:t>
      </w:r>
      <w:r w:rsidRPr="00800E54">
        <w:rPr>
          <w:rFonts w:ascii="Times New Roman" w:hAnsi="Times New Roman"/>
          <w:kern w:val="0"/>
          <w:sz w:val="24"/>
          <w:lang w:val="en-GB"/>
        </w:rPr>
        <w:t>404-414.</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Chriqui, C. and Robillard, P. (1975) 'Common Bus Line', Transportation science, 9(3), 115-121.</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 xml:space="preserve">Fonzone, A., Schmöcker, J. D., Bell, M. G. H., Gentile, G., Kurauchi, F., Nokel, K. and Wilson, N. H. M. (2010) 'Do “hyper-travellers” exist? – Initial results of an international survey on public transport user behaviour', in 12th World Conference on Transport Research, Lisbon, Portugal, </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Halkidi, M., Batistakis, Y. and Vazirgiannis, M. (2001) 'On clustering validation techniques', Journal of Intelligent Information Systems, 17(2-3), 107-145.</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Hubert, L. and Arabie, P. (1985) 'Comparing Partitions', Journal of Classification, 2(2-3), 193-218.</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Kaufman, L. and Rousseeuw, P. J. (1990) Finding groups in data : an introduction to cluster analysis, Wiley series in probability and mathematical statistics</w:t>
      </w:r>
      <w:r w:rsidR="00877931">
        <w:rPr>
          <w:rFonts w:ascii="Times New Roman" w:hAnsi="Times New Roman"/>
          <w:kern w:val="0"/>
          <w:sz w:val="24"/>
          <w:lang w:val="en-GB"/>
        </w:rPr>
        <w:t>.</w:t>
      </w:r>
      <w:r w:rsidRPr="00800E54">
        <w:rPr>
          <w:rFonts w:ascii="Times New Roman" w:hAnsi="Times New Roman"/>
          <w:kern w:val="0"/>
          <w:sz w:val="24"/>
          <w:lang w:val="en-GB"/>
        </w:rPr>
        <w:t xml:space="preserve"> Applied probability and statistics, New York: Wiley.</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Kuncheva, L. I. and Vetrov, D. P. (2006) 'Evaluation of stability of k-means cluster ensembles with respect to random initialization', Ieee Transactions on Pattern Analysis and Machine Intelligence, 28(11), 1798-1808.</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 xml:space="preserve">Kurauchi, F., Schmöcker, J. D., Fonzone, A., Hemdan, S. M. H., Shimamoto, H. and Bell, M. G. H. (2012a) 'Estimation of Weights of Times and transfers for Hyperpath </w:t>
      </w:r>
      <w:r w:rsidRPr="00877931">
        <w:rPr>
          <w:rFonts w:ascii="Times New Roman" w:hAnsi="Times New Roman"/>
          <w:kern w:val="0"/>
          <w:sz w:val="24"/>
          <w:lang w:val="en-GB"/>
        </w:rPr>
        <w:t xml:space="preserve">Travellers', </w:t>
      </w:r>
      <w:r w:rsidR="00F52EC0" w:rsidRPr="00877931">
        <w:rPr>
          <w:rFonts w:ascii="Times New Roman" w:hAnsi="Times New Roman"/>
          <w:color w:val="000000"/>
          <w:sz w:val="24"/>
          <w:lang w:val="en-GB"/>
        </w:rPr>
        <w:t>Transportation Research Records 2284, 89-99.</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lastRenderedPageBreak/>
        <w:t xml:space="preserve">Kurauchi, F., Schmöcker, J. D., Shimamoto, H. and Hemdan, S. M. H. (2012b) 'Empirical Analysis on Passengers’ Hyperpath Construction by Smart Card Data', in 12th Conference on Advanced Systems for Public Transport (CASPT), Santiago, Chile, </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Lampkin, W. and Saalmans, P. D. (1967) 'The Design of Routes; Service Frequencies and Schedules of a Municipal Bus Undertaking: A Case Study', Operational Research Quarterly, 18(4), 375-397.</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Lange, T., Volker, R., Braun, M. L. and Buhmann, J. M. (2004) 'Stability-Based Validation of Clustering Solutions', Neural Computation, 16(6), 1299-1323.</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Milligan, G. W. and Cooper, M. C. (1986) 'A Study of the Comparability of External Criteria for Hierarchical Cluster-Analysis', Multivariate Behavioral Research, 21(4), 441-458.</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Mooi, E. and Sarstedt, M. (2011) A Concise Guide to Market Research, Berlin Heidelberg: Springer-Verlag.</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Nguyen, S. and Pallottino, S. (1988) 'Equilibrium traffic assignment for large scale transit networks', European journal of operational research, 37(2), 176-186.</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 xml:space="preserve">Nokel, K. and Wekeck, S. (2009) 'Boarding and alighting in frequency-based transit assignment', in TRB 99th Annual Meeting, Washington, </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PASW Statistics 18 (2010) Algorithms, on-line help.</w:t>
      </w:r>
    </w:p>
    <w:p w:rsidR="00F10F6A"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Rand, W. M. (1971) 'Objective Criteria for Evaluation of Clustering Methods', Journal of the American Statistical Association, 66(336)</w:t>
      </w:r>
      <w:r w:rsidR="00877931">
        <w:rPr>
          <w:rFonts w:ascii="Times New Roman" w:hAnsi="Times New Roman"/>
          <w:kern w:val="0"/>
          <w:sz w:val="24"/>
          <w:lang w:val="en-GB"/>
        </w:rPr>
        <w:t>.</w:t>
      </w:r>
    </w:p>
    <w:p w:rsidR="00967E73" w:rsidRPr="00800E54" w:rsidRDefault="00F10F6A"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Spiess, H. and Florian, M. (1989) 'Optimal strategies. A new assignment model for transit networks', Transportation research. Part B, Methodological, 23B(2), 83-102.</w:t>
      </w:r>
      <w:r w:rsidR="00967E73" w:rsidRPr="00800E54">
        <w:rPr>
          <w:rFonts w:ascii="Times New Roman" w:hAnsi="Times New Roman"/>
          <w:kern w:val="0"/>
          <w:sz w:val="24"/>
          <w:lang w:val="en-GB"/>
        </w:rPr>
        <w:t xml:space="preserve"> </w:t>
      </w:r>
    </w:p>
    <w:p w:rsidR="00F10F6A" w:rsidRPr="00800E54" w:rsidRDefault="00967E73" w:rsidP="00F10F6A">
      <w:pPr>
        <w:ind w:leftChars="100" w:left="493" w:rightChars="133" w:right="279" w:hangingChars="118" w:hanging="283"/>
        <w:rPr>
          <w:rFonts w:ascii="Times New Roman" w:hAnsi="Times New Roman"/>
          <w:kern w:val="0"/>
          <w:sz w:val="24"/>
          <w:lang w:val="en-GB"/>
        </w:rPr>
      </w:pPr>
      <w:r w:rsidRPr="00800E54">
        <w:rPr>
          <w:rFonts w:ascii="Times New Roman" w:hAnsi="Times New Roman"/>
          <w:kern w:val="0"/>
          <w:sz w:val="24"/>
          <w:lang w:val="en-GB"/>
        </w:rPr>
        <w:t>Schmöcker, J. D., Shimamto, H. and Kurauchi, F. (2013)</w:t>
      </w:r>
      <w:r w:rsidR="007F4DAC" w:rsidRPr="00800E54">
        <w:rPr>
          <w:rFonts w:ascii="Times New Roman" w:hAnsi="Times New Roman"/>
          <w:kern w:val="0"/>
          <w:sz w:val="24"/>
          <w:lang w:val="en-GB"/>
        </w:rPr>
        <w:t xml:space="preserve"> ‘Generation and Calibration of Transit Hyperpaths’. Selected Proceedings of the 20th International Symposium on Transportation and Traffic Theory (ISTTT). Nordwijk, The Netherlands, July 2013; and accepted for Publication in Transportation Research C.</w:t>
      </w:r>
    </w:p>
    <w:p w:rsidR="00DF13AE" w:rsidRPr="00800E54" w:rsidRDefault="00F10F6A" w:rsidP="00F10F6A">
      <w:pPr>
        <w:ind w:leftChars="100" w:left="493" w:rightChars="133" w:right="279" w:hangingChars="118" w:hanging="283"/>
        <w:rPr>
          <w:rFonts w:ascii="Times New Roman" w:hAnsi="Times New Roman"/>
          <w:sz w:val="24"/>
          <w:lang w:val="en-GB"/>
        </w:rPr>
      </w:pPr>
      <w:r w:rsidRPr="00800E54">
        <w:rPr>
          <w:rFonts w:ascii="Times New Roman" w:hAnsi="Times New Roman"/>
          <w:kern w:val="0"/>
          <w:sz w:val="24"/>
          <w:lang w:val="en-GB"/>
        </w:rPr>
        <w:t>Wardman, M. R. (2004) 'Public transport values of time', Transport Policy, 11, 363-377.</w:t>
      </w:r>
    </w:p>
    <w:p w:rsidR="00704E40" w:rsidRPr="00800E54" w:rsidRDefault="00704E40" w:rsidP="00DF13AE">
      <w:pPr>
        <w:rPr>
          <w:rFonts w:ascii="Times New Roman" w:hAnsi="Times New Roman"/>
          <w:sz w:val="24"/>
          <w:lang w:val="en-GB"/>
        </w:rPr>
      </w:pPr>
    </w:p>
    <w:sectPr w:rsidR="00704E40" w:rsidRPr="00800E54" w:rsidSect="00A51AEF">
      <w:headerReference w:type="default" r:id="rId22"/>
      <w:footerReference w:type="default" r:id="rId23"/>
      <w:pgSz w:w="11906" w:h="16838" w:code="9"/>
      <w:pgMar w:top="1701" w:right="1418" w:bottom="1418" w:left="1418" w:header="851" w:footer="680" w:gutter="0"/>
      <w:cols w:space="425"/>
      <w:titlePg/>
      <w:docGrid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322" w:rsidRDefault="008B4322" w:rsidP="00D07F27">
      <w:r>
        <w:separator/>
      </w:r>
    </w:p>
  </w:endnote>
  <w:endnote w:type="continuationSeparator" w:id="0">
    <w:p w:rsidR="008B4322" w:rsidRDefault="008B4322" w:rsidP="00D0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74" w:rsidRPr="005B25F1" w:rsidRDefault="006F2E74">
    <w:pPr>
      <w:pStyle w:val="Footer"/>
      <w:jc w:val="center"/>
      <w:rPr>
        <w:rFonts w:ascii="Times New Roman" w:hAnsi="Times New Roman"/>
      </w:rPr>
    </w:pPr>
  </w:p>
  <w:p w:rsidR="006F2E74" w:rsidRPr="005B25F1" w:rsidRDefault="006F2E74">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322" w:rsidRDefault="008B4322" w:rsidP="00D07F27">
      <w:r>
        <w:separator/>
      </w:r>
    </w:p>
  </w:footnote>
  <w:footnote w:type="continuationSeparator" w:id="0">
    <w:p w:rsidR="008B4322" w:rsidRDefault="008B4322" w:rsidP="00D0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74" w:rsidRPr="00F41B33" w:rsidRDefault="006F2E74" w:rsidP="00F41B33">
    <w:pPr>
      <w:pStyle w:val="Header"/>
      <w:jc w:val="center"/>
      <w:rPr>
        <w:rFonts w:ascii="Times New Roman" w:hAnsi="Times New Roman"/>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E7AA1A2"/>
    <w:lvl w:ilvl="0">
      <w:numFmt w:val="bullet"/>
      <w:lvlText w:val="*"/>
      <w:lvlJc w:val="left"/>
    </w:lvl>
  </w:abstractNum>
  <w:abstractNum w:abstractNumId="1" w15:restartNumberingAfterBreak="0">
    <w:nsid w:val="2B645287"/>
    <w:multiLevelType w:val="hybridMultilevel"/>
    <w:tmpl w:val="82C68C9E"/>
    <w:lvl w:ilvl="0" w:tplc="EF1ED636">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6CE13EBF"/>
    <w:multiLevelType w:val="multilevel"/>
    <w:tmpl w:val="A8BA92F0"/>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B301D9"/>
    <w:multiLevelType w:val="hybridMultilevel"/>
    <w:tmpl w:val="35600ED6"/>
    <w:lvl w:ilvl="0" w:tplc="EF1ED636">
      <w:start w:val="1"/>
      <w:numFmt w:val="decimal"/>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lvlOverride w:ilvl="0">
      <w:lvl w:ilvl="0">
        <w:start w:val="1"/>
        <w:numFmt w:val="bullet"/>
        <w:lvlText w:val=""/>
        <w:legacy w:legacy="1" w:legacySpace="0" w:legacyIndent="425"/>
        <w:lvlJc w:val="left"/>
        <w:pPr>
          <w:ind w:left="605" w:hanging="425"/>
        </w:pPr>
        <w:rPr>
          <w:rFonts w:ascii="Wingdings" w:hAnsi="Wingdings" w:hint="default"/>
          <w:b/>
          <w:i w:val="0"/>
          <w:sz w:val="20"/>
        </w:rPr>
      </w:lvl>
    </w:lvlOverride>
  </w:num>
  <w:num w:numId="2">
    <w:abstractNumId w:val="0"/>
    <w:lvlOverride w:ilvl="0">
      <w:lvl w:ilvl="0">
        <w:start w:val="1"/>
        <w:numFmt w:val="bullet"/>
        <w:lvlText w:val=""/>
        <w:legacy w:legacy="1" w:legacySpace="0" w:legacyIndent="425"/>
        <w:lvlJc w:val="left"/>
        <w:pPr>
          <w:ind w:left="425" w:hanging="425"/>
        </w:pPr>
        <w:rPr>
          <w:rFonts w:ascii="Wingdings" w:hAnsi="Wingdings" w:hint="default"/>
          <w:b w:val="0"/>
          <w:i w:val="0"/>
          <w:sz w:val="20"/>
        </w:rPr>
      </w:lvl>
    </w:lvlOverride>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07"/>
    <w:rsid w:val="00000E9B"/>
    <w:rsid w:val="00003A61"/>
    <w:rsid w:val="00005166"/>
    <w:rsid w:val="000342DE"/>
    <w:rsid w:val="00036E63"/>
    <w:rsid w:val="00066ED8"/>
    <w:rsid w:val="00085BFF"/>
    <w:rsid w:val="00087C3C"/>
    <w:rsid w:val="00092177"/>
    <w:rsid w:val="000A10A1"/>
    <w:rsid w:val="000A2D07"/>
    <w:rsid w:val="000B3EC4"/>
    <w:rsid w:val="000B6F1F"/>
    <w:rsid w:val="000D76D4"/>
    <w:rsid w:val="000F5205"/>
    <w:rsid w:val="00117183"/>
    <w:rsid w:val="001207A3"/>
    <w:rsid w:val="0012313A"/>
    <w:rsid w:val="00132885"/>
    <w:rsid w:val="001340A4"/>
    <w:rsid w:val="00135532"/>
    <w:rsid w:val="00141E3A"/>
    <w:rsid w:val="00142C2C"/>
    <w:rsid w:val="001438CF"/>
    <w:rsid w:val="00153F2B"/>
    <w:rsid w:val="00162C5E"/>
    <w:rsid w:val="00182D1D"/>
    <w:rsid w:val="001926D7"/>
    <w:rsid w:val="001A69F4"/>
    <w:rsid w:val="001B159C"/>
    <w:rsid w:val="001B46BD"/>
    <w:rsid w:val="001D7274"/>
    <w:rsid w:val="001E4156"/>
    <w:rsid w:val="001E6776"/>
    <w:rsid w:val="001F5279"/>
    <w:rsid w:val="00202216"/>
    <w:rsid w:val="00202689"/>
    <w:rsid w:val="00203D27"/>
    <w:rsid w:val="00237DA7"/>
    <w:rsid w:val="0028155E"/>
    <w:rsid w:val="0028368F"/>
    <w:rsid w:val="00286C1E"/>
    <w:rsid w:val="00287199"/>
    <w:rsid w:val="002A1A52"/>
    <w:rsid w:val="002A4644"/>
    <w:rsid w:val="002A51D3"/>
    <w:rsid w:val="002B4B8E"/>
    <w:rsid w:val="002E4566"/>
    <w:rsid w:val="002E57E1"/>
    <w:rsid w:val="003103D9"/>
    <w:rsid w:val="003536B8"/>
    <w:rsid w:val="00357894"/>
    <w:rsid w:val="00362312"/>
    <w:rsid w:val="003665A3"/>
    <w:rsid w:val="00384276"/>
    <w:rsid w:val="003A03D5"/>
    <w:rsid w:val="003C7982"/>
    <w:rsid w:val="003E77FB"/>
    <w:rsid w:val="00421CAF"/>
    <w:rsid w:val="00421D59"/>
    <w:rsid w:val="004230C1"/>
    <w:rsid w:val="00427114"/>
    <w:rsid w:val="00470A31"/>
    <w:rsid w:val="00473B10"/>
    <w:rsid w:val="004C0E81"/>
    <w:rsid w:val="004C6F10"/>
    <w:rsid w:val="004F68B1"/>
    <w:rsid w:val="005224BA"/>
    <w:rsid w:val="00527BA8"/>
    <w:rsid w:val="005553E2"/>
    <w:rsid w:val="00585CB7"/>
    <w:rsid w:val="0059027B"/>
    <w:rsid w:val="0059222F"/>
    <w:rsid w:val="00597BAE"/>
    <w:rsid w:val="005A7029"/>
    <w:rsid w:val="005B25F1"/>
    <w:rsid w:val="005D7028"/>
    <w:rsid w:val="005F2AA7"/>
    <w:rsid w:val="00605714"/>
    <w:rsid w:val="00625FCE"/>
    <w:rsid w:val="00637048"/>
    <w:rsid w:val="0064478B"/>
    <w:rsid w:val="00655C26"/>
    <w:rsid w:val="00684648"/>
    <w:rsid w:val="0069177B"/>
    <w:rsid w:val="00694671"/>
    <w:rsid w:val="006965F3"/>
    <w:rsid w:val="006A27AB"/>
    <w:rsid w:val="006D37DB"/>
    <w:rsid w:val="006D5B40"/>
    <w:rsid w:val="006E39C1"/>
    <w:rsid w:val="006E74FE"/>
    <w:rsid w:val="006F2E74"/>
    <w:rsid w:val="0070307A"/>
    <w:rsid w:val="00704E40"/>
    <w:rsid w:val="00711B4A"/>
    <w:rsid w:val="00716C83"/>
    <w:rsid w:val="00724947"/>
    <w:rsid w:val="00730CCE"/>
    <w:rsid w:val="00741CAA"/>
    <w:rsid w:val="00752150"/>
    <w:rsid w:val="00752432"/>
    <w:rsid w:val="00754231"/>
    <w:rsid w:val="00755B8E"/>
    <w:rsid w:val="007928DF"/>
    <w:rsid w:val="007A234D"/>
    <w:rsid w:val="007A6D31"/>
    <w:rsid w:val="007D2970"/>
    <w:rsid w:val="007E315D"/>
    <w:rsid w:val="007F45D5"/>
    <w:rsid w:val="007F4DAC"/>
    <w:rsid w:val="00800E54"/>
    <w:rsid w:val="00804319"/>
    <w:rsid w:val="008079FB"/>
    <w:rsid w:val="008246F9"/>
    <w:rsid w:val="00824AEC"/>
    <w:rsid w:val="00877931"/>
    <w:rsid w:val="008869EA"/>
    <w:rsid w:val="008879F6"/>
    <w:rsid w:val="00893EDF"/>
    <w:rsid w:val="008A6635"/>
    <w:rsid w:val="008A6E8D"/>
    <w:rsid w:val="008B4322"/>
    <w:rsid w:val="008B45B9"/>
    <w:rsid w:val="008F5DB3"/>
    <w:rsid w:val="009012BC"/>
    <w:rsid w:val="0090475E"/>
    <w:rsid w:val="009140EC"/>
    <w:rsid w:val="009142CC"/>
    <w:rsid w:val="009354B6"/>
    <w:rsid w:val="0094070F"/>
    <w:rsid w:val="009539FC"/>
    <w:rsid w:val="00960123"/>
    <w:rsid w:val="00967E73"/>
    <w:rsid w:val="009804E8"/>
    <w:rsid w:val="0098422F"/>
    <w:rsid w:val="009A10B5"/>
    <w:rsid w:val="009A6702"/>
    <w:rsid w:val="009F173A"/>
    <w:rsid w:val="009F468F"/>
    <w:rsid w:val="009F4DE8"/>
    <w:rsid w:val="00A0416F"/>
    <w:rsid w:val="00A218A9"/>
    <w:rsid w:val="00A229A6"/>
    <w:rsid w:val="00A4165E"/>
    <w:rsid w:val="00A42C2A"/>
    <w:rsid w:val="00A51AEF"/>
    <w:rsid w:val="00A53821"/>
    <w:rsid w:val="00A61A41"/>
    <w:rsid w:val="00A7627F"/>
    <w:rsid w:val="00AA0385"/>
    <w:rsid w:val="00AA3EC0"/>
    <w:rsid w:val="00AB11D6"/>
    <w:rsid w:val="00AB3A54"/>
    <w:rsid w:val="00AC7665"/>
    <w:rsid w:val="00AE4D94"/>
    <w:rsid w:val="00AE7732"/>
    <w:rsid w:val="00B05932"/>
    <w:rsid w:val="00B05C1D"/>
    <w:rsid w:val="00B22B94"/>
    <w:rsid w:val="00B34328"/>
    <w:rsid w:val="00B40F13"/>
    <w:rsid w:val="00B659A8"/>
    <w:rsid w:val="00B90B07"/>
    <w:rsid w:val="00B96C0F"/>
    <w:rsid w:val="00BA729F"/>
    <w:rsid w:val="00BB4124"/>
    <w:rsid w:val="00BB4C37"/>
    <w:rsid w:val="00BB5798"/>
    <w:rsid w:val="00BC316B"/>
    <w:rsid w:val="00BD22CA"/>
    <w:rsid w:val="00BF7E78"/>
    <w:rsid w:val="00C11132"/>
    <w:rsid w:val="00C27EFF"/>
    <w:rsid w:val="00C63A9D"/>
    <w:rsid w:val="00C648E4"/>
    <w:rsid w:val="00C7315C"/>
    <w:rsid w:val="00C74394"/>
    <w:rsid w:val="00C76138"/>
    <w:rsid w:val="00C810DD"/>
    <w:rsid w:val="00C904E2"/>
    <w:rsid w:val="00C9399D"/>
    <w:rsid w:val="00CB3E61"/>
    <w:rsid w:val="00CD429C"/>
    <w:rsid w:val="00CF4D03"/>
    <w:rsid w:val="00D07F27"/>
    <w:rsid w:val="00D13CC4"/>
    <w:rsid w:val="00D2718E"/>
    <w:rsid w:val="00D310AE"/>
    <w:rsid w:val="00D35C37"/>
    <w:rsid w:val="00D46474"/>
    <w:rsid w:val="00D65408"/>
    <w:rsid w:val="00D7101A"/>
    <w:rsid w:val="00D90352"/>
    <w:rsid w:val="00D96D28"/>
    <w:rsid w:val="00D97440"/>
    <w:rsid w:val="00DA6F69"/>
    <w:rsid w:val="00DC12C8"/>
    <w:rsid w:val="00DD5EB1"/>
    <w:rsid w:val="00DE31CE"/>
    <w:rsid w:val="00DF13AE"/>
    <w:rsid w:val="00E27195"/>
    <w:rsid w:val="00E3531B"/>
    <w:rsid w:val="00E605A8"/>
    <w:rsid w:val="00E668E6"/>
    <w:rsid w:val="00E87226"/>
    <w:rsid w:val="00E87B16"/>
    <w:rsid w:val="00EA6A44"/>
    <w:rsid w:val="00ED3964"/>
    <w:rsid w:val="00EE0BB6"/>
    <w:rsid w:val="00F01330"/>
    <w:rsid w:val="00F100F1"/>
    <w:rsid w:val="00F10F6A"/>
    <w:rsid w:val="00F41B33"/>
    <w:rsid w:val="00F427B1"/>
    <w:rsid w:val="00F52EC0"/>
    <w:rsid w:val="00F537C2"/>
    <w:rsid w:val="00F86B66"/>
    <w:rsid w:val="00F92B1A"/>
    <w:rsid w:val="00FA70D5"/>
    <w:rsid w:val="00FD601C"/>
    <w:rsid w:val="00FE00AB"/>
    <w:rsid w:val="00FE1D3D"/>
    <w:rsid w:val="00FF3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76903AD-34C9-4D42-9746-6488C646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3">
    <w:name w:val="heading 3"/>
    <w:basedOn w:val="Normal"/>
    <w:link w:val="Heading3Char"/>
    <w:uiPriority w:val="9"/>
    <w:qFormat/>
    <w:rsid w:val="00D07F27"/>
    <w:pPr>
      <w:widowControl/>
      <w:spacing w:before="100" w:beforeAutospacing="1" w:line="320" w:lineRule="atLeast"/>
      <w:jc w:val="left"/>
      <w:outlineLvl w:val="2"/>
    </w:pPr>
    <w:rPr>
      <w:rFonts w:ascii="Arial" w:eastAsia="MS PGothic" w:hAnsi="Arial" w:cs="Arial"/>
      <w:b/>
      <w:bCs/>
      <w:color w:val="990033"/>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07F27"/>
    <w:rPr>
      <w:rFonts w:ascii="Arial" w:eastAsia="MS PGothic" w:hAnsi="Arial" w:cs="Arial"/>
      <w:b/>
      <w:bCs/>
      <w:color w:val="990033"/>
      <w:sz w:val="32"/>
      <w:szCs w:val="32"/>
    </w:rPr>
  </w:style>
  <w:style w:type="character" w:styleId="Hyperlink">
    <w:name w:val="Hyperlink"/>
    <w:uiPriority w:val="99"/>
    <w:unhideWhenUsed/>
    <w:rsid w:val="00D07F27"/>
    <w:rPr>
      <w:rFonts w:ascii="Arial" w:hAnsi="Arial" w:cs="Arial" w:hint="default"/>
      <w:b/>
      <w:bCs/>
      <w:strike w:val="0"/>
      <w:dstrike w:val="0"/>
      <w:color w:val="0000FF"/>
      <w:u w:val="none"/>
      <w:effect w:val="none"/>
    </w:rPr>
  </w:style>
  <w:style w:type="paragraph" w:customStyle="1" w:styleId="txt">
    <w:name w:val="txt"/>
    <w:basedOn w:val="Normal"/>
    <w:rsid w:val="00D07F27"/>
    <w:pPr>
      <w:widowControl/>
      <w:spacing w:line="384" w:lineRule="auto"/>
      <w:jc w:val="left"/>
    </w:pPr>
    <w:rPr>
      <w:rFonts w:ascii="Times New Roman" w:eastAsia="MS PGothic" w:hAnsi="Times New Roman"/>
      <w:color w:val="000000"/>
      <w:kern w:val="0"/>
      <w:sz w:val="24"/>
    </w:rPr>
  </w:style>
  <w:style w:type="paragraph" w:styleId="Header">
    <w:name w:val="header"/>
    <w:basedOn w:val="Normal"/>
    <w:link w:val="HeaderChar"/>
    <w:uiPriority w:val="99"/>
    <w:unhideWhenUsed/>
    <w:rsid w:val="00D07F27"/>
    <w:pPr>
      <w:tabs>
        <w:tab w:val="center" w:pos="4252"/>
        <w:tab w:val="right" w:pos="8504"/>
      </w:tabs>
      <w:snapToGrid w:val="0"/>
    </w:pPr>
  </w:style>
  <w:style w:type="character" w:customStyle="1" w:styleId="HeaderChar">
    <w:name w:val="Header Char"/>
    <w:link w:val="Header"/>
    <w:uiPriority w:val="99"/>
    <w:rsid w:val="00D07F27"/>
    <w:rPr>
      <w:kern w:val="2"/>
      <w:sz w:val="21"/>
      <w:szCs w:val="24"/>
    </w:rPr>
  </w:style>
  <w:style w:type="paragraph" w:styleId="Footer">
    <w:name w:val="footer"/>
    <w:basedOn w:val="Normal"/>
    <w:link w:val="FooterChar"/>
    <w:uiPriority w:val="99"/>
    <w:unhideWhenUsed/>
    <w:rsid w:val="00D07F27"/>
    <w:pPr>
      <w:tabs>
        <w:tab w:val="center" w:pos="4252"/>
        <w:tab w:val="right" w:pos="8504"/>
      </w:tabs>
      <w:snapToGrid w:val="0"/>
    </w:pPr>
  </w:style>
  <w:style w:type="character" w:customStyle="1" w:styleId="FooterChar">
    <w:name w:val="Footer Char"/>
    <w:link w:val="Footer"/>
    <w:uiPriority w:val="99"/>
    <w:rsid w:val="00D07F27"/>
    <w:rPr>
      <w:kern w:val="2"/>
      <w:sz w:val="21"/>
      <w:szCs w:val="24"/>
    </w:rPr>
  </w:style>
  <w:style w:type="paragraph" w:styleId="Date">
    <w:name w:val="Date"/>
    <w:basedOn w:val="Normal"/>
    <w:next w:val="Normal"/>
    <w:link w:val="DateChar"/>
    <w:uiPriority w:val="99"/>
    <w:semiHidden/>
    <w:unhideWhenUsed/>
    <w:rsid w:val="00D07F27"/>
  </w:style>
  <w:style w:type="character" w:customStyle="1" w:styleId="DateChar">
    <w:name w:val="Date Char"/>
    <w:link w:val="Date"/>
    <w:uiPriority w:val="99"/>
    <w:semiHidden/>
    <w:rsid w:val="00D07F27"/>
    <w:rPr>
      <w:kern w:val="2"/>
      <w:sz w:val="21"/>
      <w:szCs w:val="24"/>
    </w:rPr>
  </w:style>
  <w:style w:type="table" w:styleId="TableGrid">
    <w:name w:val="Table Grid"/>
    <w:basedOn w:val="TableNormal"/>
    <w:uiPriority w:val="59"/>
    <w:rsid w:val="002815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5F2AA7"/>
    <w:pPr>
      <w:overflowPunct w:val="0"/>
      <w:autoSpaceDE w:val="0"/>
      <w:autoSpaceDN w:val="0"/>
      <w:adjustRightInd w:val="0"/>
      <w:spacing w:line="220" w:lineRule="exact"/>
      <w:textAlignment w:val="baseline"/>
    </w:pPr>
    <w:rPr>
      <w:rFonts w:ascii="Times New Roman" w:hAnsi="Times New Roman"/>
      <w:kern w:val="0"/>
      <w:sz w:val="24"/>
      <w:szCs w:val="20"/>
    </w:rPr>
  </w:style>
  <w:style w:type="character" w:customStyle="1" w:styleId="BodyTextChar">
    <w:name w:val="Body Text Char"/>
    <w:link w:val="BodyText"/>
    <w:rsid w:val="005F2AA7"/>
    <w:rPr>
      <w:rFonts w:ascii="Times New Roman" w:hAnsi="Times New Roman"/>
      <w:sz w:val="24"/>
    </w:rPr>
  </w:style>
  <w:style w:type="character" w:styleId="CommentReference">
    <w:name w:val="annotation reference"/>
    <w:uiPriority w:val="99"/>
    <w:semiHidden/>
    <w:unhideWhenUsed/>
    <w:rsid w:val="00DE31CE"/>
    <w:rPr>
      <w:sz w:val="18"/>
      <w:szCs w:val="18"/>
    </w:rPr>
  </w:style>
  <w:style w:type="paragraph" w:styleId="CommentText">
    <w:name w:val="annotation text"/>
    <w:basedOn w:val="Normal"/>
    <w:link w:val="CommentTextChar"/>
    <w:uiPriority w:val="99"/>
    <w:semiHidden/>
    <w:unhideWhenUsed/>
    <w:rsid w:val="00DE31CE"/>
    <w:pPr>
      <w:jc w:val="left"/>
    </w:pPr>
  </w:style>
  <w:style w:type="character" w:customStyle="1" w:styleId="CommentTextChar">
    <w:name w:val="Comment Text Char"/>
    <w:link w:val="CommentText"/>
    <w:uiPriority w:val="99"/>
    <w:semiHidden/>
    <w:rsid w:val="00DE31CE"/>
    <w:rPr>
      <w:kern w:val="2"/>
      <w:sz w:val="21"/>
      <w:szCs w:val="24"/>
    </w:rPr>
  </w:style>
  <w:style w:type="paragraph" w:styleId="CommentSubject">
    <w:name w:val="annotation subject"/>
    <w:basedOn w:val="CommentText"/>
    <w:next w:val="CommentText"/>
    <w:link w:val="CommentSubjectChar"/>
    <w:uiPriority w:val="99"/>
    <w:semiHidden/>
    <w:unhideWhenUsed/>
    <w:rsid w:val="00DE31CE"/>
    <w:rPr>
      <w:b/>
      <w:bCs/>
    </w:rPr>
  </w:style>
  <w:style w:type="character" w:customStyle="1" w:styleId="CommentSubjectChar">
    <w:name w:val="Comment Subject Char"/>
    <w:link w:val="CommentSubject"/>
    <w:uiPriority w:val="99"/>
    <w:semiHidden/>
    <w:rsid w:val="00DE31CE"/>
    <w:rPr>
      <w:b/>
      <w:bCs/>
      <w:kern w:val="2"/>
      <w:sz w:val="21"/>
      <w:szCs w:val="24"/>
    </w:rPr>
  </w:style>
  <w:style w:type="paragraph" w:styleId="BalloonText">
    <w:name w:val="Balloon Text"/>
    <w:basedOn w:val="Normal"/>
    <w:link w:val="BalloonTextChar"/>
    <w:uiPriority w:val="99"/>
    <w:semiHidden/>
    <w:unhideWhenUsed/>
    <w:rsid w:val="00DE31CE"/>
    <w:rPr>
      <w:rFonts w:ascii="Arial" w:eastAsia="MS Gothic" w:hAnsi="Arial"/>
      <w:sz w:val="18"/>
      <w:szCs w:val="18"/>
    </w:rPr>
  </w:style>
  <w:style w:type="character" w:customStyle="1" w:styleId="BalloonTextChar">
    <w:name w:val="Balloon Text Char"/>
    <w:link w:val="BalloonText"/>
    <w:uiPriority w:val="99"/>
    <w:semiHidden/>
    <w:rsid w:val="00DE31CE"/>
    <w:rPr>
      <w:rFonts w:ascii="Arial" w:eastAsia="MS Gothic" w:hAnsi="Arial" w:cs="Times New Roman"/>
      <w:kern w:val="2"/>
      <w:sz w:val="18"/>
      <w:szCs w:val="18"/>
    </w:rPr>
  </w:style>
  <w:style w:type="paragraph" w:customStyle="1" w:styleId="Tabletext">
    <w:name w:val="Table text"/>
    <w:basedOn w:val="Normal"/>
    <w:link w:val="TabletextChar"/>
    <w:qFormat/>
    <w:rsid w:val="00003A61"/>
    <w:pPr>
      <w:spacing w:line="240" w:lineRule="exact"/>
      <w:contextualSpacing/>
      <w:jc w:val="center"/>
    </w:pPr>
    <w:rPr>
      <w:rFonts w:ascii="Times New Roman" w:eastAsia="Times New Roman" w:hAnsi="Times New Roman"/>
      <w:kern w:val="0"/>
      <w:sz w:val="18"/>
      <w:szCs w:val="18"/>
      <w:lang w:val="en-GB" w:eastAsia="pt-PT"/>
    </w:rPr>
  </w:style>
  <w:style w:type="character" w:customStyle="1" w:styleId="TabletextChar">
    <w:name w:val="Table text Char"/>
    <w:basedOn w:val="DefaultParagraphFont"/>
    <w:link w:val="Tabletext"/>
    <w:rsid w:val="00003A61"/>
    <w:rPr>
      <w:rFonts w:ascii="Times New Roman" w:eastAsia="Times New Roman" w:hAnsi="Times New Roman"/>
      <w:sz w:val="18"/>
      <w:szCs w:val="18"/>
      <w:lang w:val="en-GB" w:eastAsia="pt-PT"/>
    </w:rPr>
  </w:style>
  <w:style w:type="paragraph" w:styleId="ListParagraph">
    <w:name w:val="List Paragraph"/>
    <w:basedOn w:val="Normal"/>
    <w:qFormat/>
    <w:rsid w:val="00F10F6A"/>
    <w:pPr>
      <w:widowControl/>
      <w:numPr>
        <w:numId w:val="5"/>
      </w:numPr>
      <w:jc w:val="left"/>
    </w:pPr>
    <w:rPr>
      <w:rFonts w:ascii="Times New Roman" w:eastAsia="PMingLiU" w:hAnsi="Times New Roman"/>
      <w:kern w:val="0"/>
      <w:sz w:val="18"/>
      <w:szCs w:val="18"/>
      <w:lang w:eastAsia="zh-TW"/>
    </w:rPr>
  </w:style>
  <w:style w:type="paragraph" w:styleId="Revision">
    <w:name w:val="Revision"/>
    <w:hidden/>
    <w:uiPriority w:val="99"/>
    <w:semiHidden/>
    <w:rsid w:val="009F46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65314">
      <w:bodyDiv w:val="1"/>
      <w:marLeft w:val="0"/>
      <w:marRight w:val="0"/>
      <w:marTop w:val="0"/>
      <w:marBottom w:val="0"/>
      <w:divBdr>
        <w:top w:val="none" w:sz="0" w:space="0" w:color="auto"/>
        <w:left w:val="none" w:sz="0" w:space="0" w:color="auto"/>
        <w:bottom w:val="none" w:sz="0" w:space="0" w:color="auto"/>
        <w:right w:val="none" w:sz="0" w:space="0" w:color="auto"/>
      </w:divBdr>
      <w:divsChild>
        <w:div w:id="1326593940">
          <w:marLeft w:val="2325"/>
          <w:marRight w:val="495"/>
          <w:marTop w:val="25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A266-15EA-4209-8F05-EB95D713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8597</Words>
  <Characters>49008</Characters>
  <Application>Microsoft Office Word</Application>
  <DocSecurity>4</DocSecurity>
  <Lines>408</Lines>
  <Paragraphs>114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Asian Transport Studies</vt:lpstr>
      <vt:lpstr>Asian Transport Studies</vt:lpstr>
    </vt:vector>
  </TitlesOfParts>
  <Company>YNU</Company>
  <LinksUpToDate>false</LinksUpToDate>
  <CharactersWithSpaces>57491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Transport Studies</dc:title>
  <dc:creator>Okamura</dc:creator>
  <cp:lastModifiedBy>Gibson, Lyn</cp:lastModifiedBy>
  <cp:revision>2</cp:revision>
  <cp:lastPrinted>2012-10-09T03:03:00Z</cp:lastPrinted>
  <dcterms:created xsi:type="dcterms:W3CDTF">2015-07-13T11:37:00Z</dcterms:created>
  <dcterms:modified xsi:type="dcterms:W3CDTF">2015-07-13T11:37:00Z</dcterms:modified>
</cp:coreProperties>
</file>