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3A" w:rsidRDefault="00A6698D">
      <w:pPr>
        <w:rPr>
          <w:rFonts w:ascii="Arial" w:hAnsi="Arial" w:cs="Arial"/>
          <w:b/>
        </w:rPr>
      </w:pPr>
      <w:bookmarkStart w:id="0" w:name="_GoBack"/>
      <w:bookmarkEnd w:id="0"/>
      <w:r w:rsidRPr="00DA3682">
        <w:rPr>
          <w:rFonts w:ascii="Arial" w:hAnsi="Arial" w:cs="Arial"/>
          <w:b/>
        </w:rPr>
        <w:t>Social Dimensions in European Higher Education</w:t>
      </w:r>
      <w:r w:rsidR="00376B84" w:rsidRPr="00DA3682">
        <w:rPr>
          <w:rFonts w:ascii="Arial" w:hAnsi="Arial" w:cs="Arial"/>
          <w:b/>
        </w:rPr>
        <w:t xml:space="preserve"> Conference Abstract</w:t>
      </w:r>
    </w:p>
    <w:p w:rsidR="00D85E24" w:rsidRPr="00D85E24" w:rsidRDefault="00D85E24">
      <w:pPr>
        <w:rPr>
          <w:rFonts w:ascii="Arial" w:hAnsi="Arial" w:cs="Arial"/>
        </w:rPr>
      </w:pPr>
      <w:r w:rsidRPr="00D85E24">
        <w:rPr>
          <w:rFonts w:ascii="Arial" w:hAnsi="Arial" w:cs="Arial"/>
        </w:rPr>
        <w:t>25-27 February 2015, University of Vienna</w:t>
      </w:r>
    </w:p>
    <w:p w:rsidR="00DA3682" w:rsidRPr="00DA3682" w:rsidRDefault="00DA3682">
      <w:pPr>
        <w:rPr>
          <w:rFonts w:ascii="Arial" w:hAnsi="Arial" w:cs="Arial"/>
          <w:b/>
        </w:rPr>
      </w:pPr>
    </w:p>
    <w:p w:rsidR="00C9744B" w:rsidRPr="00DA3682" w:rsidRDefault="00DA3682">
      <w:pPr>
        <w:rPr>
          <w:rStyle w:val="Strong"/>
          <w:rFonts w:ascii="Arial" w:hAnsi="Arial" w:cs="Arial"/>
          <w:color w:val="828282"/>
        </w:rPr>
      </w:pPr>
      <w:r w:rsidRPr="00DA3682">
        <w:rPr>
          <w:rStyle w:val="Strong"/>
          <w:rFonts w:ascii="Arial" w:hAnsi="Arial" w:cs="Arial"/>
          <w:color w:val="828282"/>
        </w:rPr>
        <w:t>Reports on actions undertaken to foster the social situation of students</w:t>
      </w:r>
    </w:p>
    <w:p w:rsidR="00DA3682" w:rsidRPr="00DA3682" w:rsidRDefault="00DA3682" w:rsidP="00DA3682">
      <w:pPr>
        <w:tabs>
          <w:tab w:val="left" w:pos="4058"/>
        </w:tabs>
        <w:spacing w:line="240" w:lineRule="auto"/>
        <w:ind w:left="886"/>
        <w:rPr>
          <w:rFonts w:ascii="Arial" w:eastAsia="Times New Roman" w:hAnsi="Arial" w:cs="Arial"/>
          <w:color w:val="828282"/>
          <w:lang w:eastAsia="en-GB"/>
        </w:rPr>
      </w:pPr>
    </w:p>
    <w:p w:rsidR="00DA3682" w:rsidRPr="00DA3682" w:rsidRDefault="00DA3682" w:rsidP="00DA3682">
      <w:pPr>
        <w:tabs>
          <w:tab w:val="left" w:pos="4058"/>
        </w:tabs>
        <w:spacing w:line="240" w:lineRule="auto"/>
        <w:ind w:left="886"/>
        <w:rPr>
          <w:rFonts w:ascii="Arial" w:eastAsia="Times New Roman" w:hAnsi="Arial" w:cs="Arial"/>
          <w:color w:val="828282"/>
          <w:lang w:eastAsia="en-GB"/>
        </w:rPr>
      </w:pPr>
      <w:r>
        <w:rPr>
          <w:rFonts w:ascii="Arial" w:eastAsia="Times New Roman" w:hAnsi="Arial" w:cs="Arial"/>
          <w:color w:val="828282"/>
          <w:lang w:eastAsia="en-GB"/>
        </w:rPr>
        <w:t xml:space="preserve">Related to these Conference </w:t>
      </w:r>
      <w:r w:rsidRPr="00DA3682">
        <w:rPr>
          <w:rFonts w:ascii="Arial" w:eastAsia="Times New Roman" w:hAnsi="Arial" w:cs="Arial"/>
          <w:color w:val="828282"/>
          <w:lang w:eastAsia="en-GB"/>
        </w:rPr>
        <w:t>Themes</w:t>
      </w:r>
    </w:p>
    <w:p w:rsidR="00DA3682" w:rsidRPr="00DA3682" w:rsidRDefault="00DA3682" w:rsidP="00DA3682">
      <w:pPr>
        <w:tabs>
          <w:tab w:val="left" w:pos="4058"/>
        </w:tabs>
        <w:spacing w:line="240" w:lineRule="auto"/>
        <w:ind w:left="886"/>
        <w:rPr>
          <w:rFonts w:ascii="Arial" w:eastAsia="Times New Roman" w:hAnsi="Arial" w:cs="Arial"/>
          <w:color w:val="828282"/>
          <w:lang w:eastAsia="en-GB"/>
        </w:rPr>
      </w:pPr>
    </w:p>
    <w:p w:rsidR="00DA3682" w:rsidRPr="00DA3682" w:rsidRDefault="00DA3682" w:rsidP="00DA3682">
      <w:pPr>
        <w:pStyle w:val="ListParagraph"/>
        <w:numPr>
          <w:ilvl w:val="0"/>
          <w:numId w:val="1"/>
        </w:numPr>
        <w:tabs>
          <w:tab w:val="left" w:pos="4058"/>
        </w:tabs>
        <w:spacing w:line="240" w:lineRule="auto"/>
        <w:rPr>
          <w:rFonts w:ascii="Arial" w:eastAsia="Times New Roman" w:hAnsi="Arial" w:cs="Arial"/>
          <w:color w:val="828282"/>
          <w:lang w:eastAsia="en-GB"/>
        </w:rPr>
      </w:pPr>
      <w:r w:rsidRPr="00DA3682">
        <w:rPr>
          <w:rFonts w:ascii="Arial" w:eastAsia="Times New Roman" w:hAnsi="Arial" w:cs="Arial"/>
          <w:color w:val="828282"/>
          <w:lang w:eastAsia="en-GB"/>
        </w:rPr>
        <w:t>Socio-economic background</w:t>
      </w:r>
      <w:r w:rsidRPr="00DA3682">
        <w:rPr>
          <w:rFonts w:ascii="Arial" w:eastAsia="Times New Roman" w:hAnsi="Arial" w:cs="Arial"/>
          <w:color w:val="828282"/>
          <w:lang w:eastAsia="en-GB"/>
        </w:rPr>
        <w:tab/>
      </w:r>
    </w:p>
    <w:p w:rsidR="00DA3682" w:rsidRPr="00DA3682" w:rsidRDefault="00DA3682" w:rsidP="00DA3682">
      <w:pPr>
        <w:pStyle w:val="ListParagraph"/>
        <w:numPr>
          <w:ilvl w:val="0"/>
          <w:numId w:val="1"/>
        </w:numPr>
        <w:tabs>
          <w:tab w:val="left" w:pos="4058"/>
        </w:tabs>
        <w:spacing w:line="240" w:lineRule="auto"/>
        <w:rPr>
          <w:rFonts w:ascii="Arial" w:eastAsia="Times New Roman" w:hAnsi="Arial" w:cs="Arial"/>
          <w:color w:val="828282"/>
          <w:lang w:eastAsia="en-GB"/>
        </w:rPr>
      </w:pPr>
      <w:r w:rsidRPr="00DA3682">
        <w:rPr>
          <w:rFonts w:ascii="Arial" w:eastAsia="Times New Roman" w:hAnsi="Arial" w:cs="Arial"/>
          <w:color w:val="828282"/>
          <w:lang w:eastAsia="en-GB"/>
        </w:rPr>
        <w:t>Underrepresented groups</w:t>
      </w:r>
      <w:r w:rsidRPr="00DA3682">
        <w:rPr>
          <w:rFonts w:ascii="Arial" w:eastAsia="Times New Roman" w:hAnsi="Arial" w:cs="Arial"/>
          <w:color w:val="828282"/>
          <w:lang w:eastAsia="en-GB"/>
        </w:rPr>
        <w:tab/>
      </w:r>
    </w:p>
    <w:p w:rsidR="00DA3682" w:rsidRPr="00DA3682" w:rsidRDefault="00DA3682" w:rsidP="00DA3682">
      <w:pPr>
        <w:pStyle w:val="ListParagraph"/>
        <w:numPr>
          <w:ilvl w:val="0"/>
          <w:numId w:val="1"/>
        </w:numPr>
        <w:tabs>
          <w:tab w:val="left" w:pos="4058"/>
        </w:tabs>
        <w:spacing w:line="240" w:lineRule="auto"/>
        <w:rPr>
          <w:rFonts w:ascii="Arial" w:eastAsia="Times New Roman" w:hAnsi="Arial" w:cs="Arial"/>
          <w:color w:val="828282"/>
          <w:lang w:eastAsia="en-GB"/>
        </w:rPr>
      </w:pPr>
      <w:r w:rsidRPr="00DA3682">
        <w:rPr>
          <w:rFonts w:ascii="Arial" w:eastAsia="Times New Roman" w:hAnsi="Arial" w:cs="Arial"/>
          <w:color w:val="828282"/>
          <w:lang w:eastAsia="en-GB"/>
        </w:rPr>
        <w:t>Retention and success</w:t>
      </w:r>
      <w:r w:rsidRPr="00DA3682">
        <w:rPr>
          <w:rFonts w:ascii="Arial" w:eastAsia="Times New Roman" w:hAnsi="Arial" w:cs="Arial"/>
          <w:color w:val="828282"/>
          <w:lang w:eastAsia="en-GB"/>
        </w:rPr>
        <w:tab/>
      </w:r>
    </w:p>
    <w:p w:rsidR="00DA3682" w:rsidRPr="00DA3682" w:rsidRDefault="00DA3682" w:rsidP="00DA3682">
      <w:pPr>
        <w:pStyle w:val="ListParagraph"/>
        <w:numPr>
          <w:ilvl w:val="0"/>
          <w:numId w:val="1"/>
        </w:numPr>
        <w:tabs>
          <w:tab w:val="left" w:pos="4058"/>
        </w:tabs>
        <w:spacing w:line="240" w:lineRule="auto"/>
        <w:rPr>
          <w:rFonts w:ascii="Arial" w:eastAsia="Times New Roman" w:hAnsi="Arial" w:cs="Arial"/>
          <w:color w:val="828282"/>
          <w:lang w:eastAsia="en-GB"/>
        </w:rPr>
      </w:pPr>
      <w:r w:rsidRPr="00DA3682">
        <w:rPr>
          <w:rFonts w:ascii="Arial" w:eastAsia="Times New Roman" w:hAnsi="Arial" w:cs="Arial"/>
          <w:color w:val="828282"/>
          <w:lang w:eastAsia="en-GB"/>
        </w:rPr>
        <w:t>Non-traditional students</w:t>
      </w:r>
      <w:r w:rsidRPr="00DA3682">
        <w:rPr>
          <w:rFonts w:ascii="Arial" w:eastAsia="Times New Roman" w:hAnsi="Arial" w:cs="Arial"/>
          <w:color w:val="828282"/>
          <w:lang w:eastAsia="en-GB"/>
        </w:rPr>
        <w:tab/>
      </w:r>
    </w:p>
    <w:p w:rsidR="00DA3682" w:rsidRPr="00DA3682" w:rsidRDefault="00DA3682" w:rsidP="00DA3682">
      <w:pPr>
        <w:pStyle w:val="ListParagraph"/>
        <w:numPr>
          <w:ilvl w:val="0"/>
          <w:numId w:val="1"/>
        </w:numPr>
        <w:tabs>
          <w:tab w:val="left" w:pos="4058"/>
        </w:tabs>
        <w:spacing w:line="240" w:lineRule="auto"/>
        <w:rPr>
          <w:rFonts w:ascii="Arial" w:eastAsia="Times New Roman" w:hAnsi="Arial" w:cs="Arial"/>
          <w:color w:val="828282"/>
          <w:lang w:eastAsia="en-GB"/>
        </w:rPr>
      </w:pPr>
      <w:r w:rsidRPr="00DA3682">
        <w:rPr>
          <w:rFonts w:ascii="Arial" w:eastAsia="Times New Roman" w:hAnsi="Arial" w:cs="Arial"/>
          <w:color w:val="828282"/>
          <w:lang w:eastAsia="en-GB"/>
        </w:rPr>
        <w:t>Access</w:t>
      </w:r>
      <w:r w:rsidRPr="00DA3682">
        <w:rPr>
          <w:rFonts w:ascii="Arial" w:eastAsia="Times New Roman" w:hAnsi="Arial" w:cs="Arial"/>
          <w:color w:val="828282"/>
          <w:lang w:eastAsia="en-GB"/>
        </w:rPr>
        <w:tab/>
      </w:r>
    </w:p>
    <w:p w:rsidR="00DA3682" w:rsidRPr="00DA3682" w:rsidRDefault="00DA3682" w:rsidP="00DA3682">
      <w:pPr>
        <w:pStyle w:val="ListParagraph"/>
        <w:numPr>
          <w:ilvl w:val="0"/>
          <w:numId w:val="1"/>
        </w:numPr>
        <w:tabs>
          <w:tab w:val="left" w:pos="4058"/>
        </w:tabs>
        <w:spacing w:line="240" w:lineRule="auto"/>
        <w:rPr>
          <w:rFonts w:ascii="Arial" w:eastAsia="Times New Roman" w:hAnsi="Arial" w:cs="Arial"/>
          <w:color w:val="828282"/>
          <w:lang w:eastAsia="en-GB"/>
        </w:rPr>
      </w:pPr>
      <w:r w:rsidRPr="00DA3682">
        <w:rPr>
          <w:rFonts w:ascii="Arial" w:eastAsia="Times New Roman" w:hAnsi="Arial" w:cs="Arial"/>
          <w:color w:val="828282"/>
          <w:lang w:eastAsia="en-GB"/>
        </w:rPr>
        <w:t>Continuation of studies</w:t>
      </w:r>
      <w:r w:rsidRPr="00DA3682">
        <w:rPr>
          <w:rFonts w:ascii="Arial" w:eastAsia="Times New Roman" w:hAnsi="Arial" w:cs="Arial"/>
          <w:color w:val="828282"/>
          <w:lang w:eastAsia="en-GB"/>
        </w:rPr>
        <w:tab/>
      </w:r>
    </w:p>
    <w:p w:rsidR="00DA3682" w:rsidRPr="00DA3682" w:rsidRDefault="00DA3682">
      <w:pPr>
        <w:rPr>
          <w:rFonts w:ascii="Arial" w:hAnsi="Arial" w:cs="Arial"/>
          <w:b/>
        </w:rPr>
      </w:pPr>
    </w:p>
    <w:p w:rsidR="001F673A" w:rsidRPr="00DA3682" w:rsidRDefault="00D92236">
      <w:pPr>
        <w:rPr>
          <w:rFonts w:ascii="Arial" w:hAnsi="Arial" w:cs="Arial"/>
          <w:b/>
        </w:rPr>
      </w:pPr>
      <w:r w:rsidRPr="00DA3682">
        <w:rPr>
          <w:rFonts w:ascii="Arial" w:hAnsi="Arial" w:cs="Arial"/>
          <w:b/>
        </w:rPr>
        <w:t xml:space="preserve">Title: </w:t>
      </w:r>
      <w:r w:rsidR="00376B84" w:rsidRPr="00DA3682">
        <w:rPr>
          <w:rFonts w:ascii="Arial" w:hAnsi="Arial" w:cs="Arial"/>
          <w:b/>
        </w:rPr>
        <w:t>Widening access through t</w:t>
      </w:r>
      <w:r w:rsidR="00A6698D" w:rsidRPr="00DA3682">
        <w:rPr>
          <w:rFonts w:ascii="Arial" w:hAnsi="Arial" w:cs="Arial"/>
          <w:b/>
        </w:rPr>
        <w:t>ransiti</w:t>
      </w:r>
      <w:r w:rsidR="00376B84" w:rsidRPr="00DA3682">
        <w:rPr>
          <w:rFonts w:ascii="Arial" w:hAnsi="Arial" w:cs="Arial"/>
          <w:b/>
        </w:rPr>
        <w:t>on from College to University</w:t>
      </w:r>
    </w:p>
    <w:p w:rsidR="00663676" w:rsidRPr="00DA3682" w:rsidRDefault="00663676">
      <w:pPr>
        <w:rPr>
          <w:rFonts w:ascii="Arial" w:hAnsi="Arial" w:cs="Arial"/>
        </w:rPr>
      </w:pPr>
    </w:p>
    <w:p w:rsidR="000056E9" w:rsidRPr="00DA3682" w:rsidRDefault="00A6698D" w:rsidP="00A76861">
      <w:pPr>
        <w:rPr>
          <w:rFonts w:ascii="Arial" w:hAnsi="Arial" w:cs="Arial"/>
        </w:rPr>
      </w:pPr>
      <w:r w:rsidRPr="00DA3682">
        <w:rPr>
          <w:rFonts w:ascii="Arial" w:hAnsi="Arial" w:cs="Arial"/>
        </w:rPr>
        <w:t>In Scotland, one strategy f</w:t>
      </w:r>
      <w:r w:rsidR="00365D1D">
        <w:rPr>
          <w:rFonts w:ascii="Arial" w:hAnsi="Arial" w:cs="Arial"/>
        </w:rPr>
        <w:t>or increasing participation at u</w:t>
      </w:r>
      <w:r w:rsidRPr="00DA3682">
        <w:rPr>
          <w:rFonts w:ascii="Arial" w:hAnsi="Arial" w:cs="Arial"/>
        </w:rPr>
        <w:t xml:space="preserve">niversity for people from deprived socio-economic areas is to provide academic pathways from </w:t>
      </w:r>
      <w:r w:rsidR="00365D1D">
        <w:rPr>
          <w:rFonts w:ascii="Arial" w:hAnsi="Arial" w:cs="Arial"/>
        </w:rPr>
        <w:t xml:space="preserve">vocational courses at </w:t>
      </w:r>
      <w:r w:rsidRPr="00DA3682">
        <w:rPr>
          <w:rFonts w:ascii="Arial" w:hAnsi="Arial" w:cs="Arial"/>
        </w:rPr>
        <w:t xml:space="preserve">college to university. </w:t>
      </w:r>
      <w:r w:rsidR="003E4D83" w:rsidRPr="00DA3682">
        <w:rPr>
          <w:rFonts w:ascii="Arial" w:hAnsi="Arial" w:cs="Arial"/>
        </w:rPr>
        <w:t>Using the Scottish Credit and Qualifications Framework</w:t>
      </w:r>
      <w:r w:rsidR="001755A1" w:rsidRPr="00DA3682">
        <w:rPr>
          <w:rFonts w:ascii="Arial" w:hAnsi="Arial" w:cs="Arial"/>
        </w:rPr>
        <w:t>,</w:t>
      </w:r>
      <w:r w:rsidR="003E4D83" w:rsidRPr="00DA3682">
        <w:rPr>
          <w:rFonts w:ascii="Arial" w:hAnsi="Arial" w:cs="Arial"/>
        </w:rPr>
        <w:t xml:space="preserve"> </w:t>
      </w:r>
      <w:r w:rsidR="001755A1" w:rsidRPr="00DA3682">
        <w:rPr>
          <w:rFonts w:ascii="Arial" w:hAnsi="Arial" w:cs="Arial"/>
        </w:rPr>
        <w:t>c</w:t>
      </w:r>
      <w:r w:rsidRPr="00DA3682">
        <w:rPr>
          <w:rFonts w:ascii="Arial" w:hAnsi="Arial" w:cs="Arial"/>
        </w:rPr>
        <w:t xml:space="preserve">ollege students can use their vocational qualifications to enter into the second or third year of a four year degree. A government initiative </w:t>
      </w:r>
      <w:sdt>
        <w:sdtPr>
          <w:rPr>
            <w:rFonts w:ascii="Arial" w:hAnsi="Arial" w:cs="Arial"/>
          </w:rPr>
          <w:id w:val="-1907755916"/>
          <w:citation/>
        </w:sdtPr>
        <w:sdtEndPr/>
        <w:sdtContent>
          <w:r w:rsidRPr="00DA3682">
            <w:rPr>
              <w:rFonts w:ascii="Arial" w:hAnsi="Arial" w:cs="Arial"/>
            </w:rPr>
            <w:fldChar w:fldCharType="begin"/>
          </w:r>
          <w:r w:rsidRPr="00DA3682">
            <w:rPr>
              <w:rFonts w:ascii="Arial" w:hAnsi="Arial" w:cs="Arial"/>
            </w:rPr>
            <w:instrText xml:space="preserve"> CITATION Sco13 \l 2057 </w:instrText>
          </w:r>
          <w:r w:rsidRPr="00DA3682">
            <w:rPr>
              <w:rFonts w:ascii="Arial" w:hAnsi="Arial" w:cs="Arial"/>
            </w:rPr>
            <w:fldChar w:fldCharType="separate"/>
          </w:r>
          <w:r w:rsidRPr="00DA3682">
            <w:rPr>
              <w:rFonts w:ascii="Arial" w:hAnsi="Arial" w:cs="Arial"/>
              <w:noProof/>
            </w:rPr>
            <w:t>(Scottish Funding Council, 2013)</w:t>
          </w:r>
          <w:r w:rsidRPr="00DA3682">
            <w:rPr>
              <w:rFonts w:ascii="Arial" w:hAnsi="Arial" w:cs="Arial"/>
            </w:rPr>
            <w:fldChar w:fldCharType="end"/>
          </w:r>
        </w:sdtContent>
      </w:sdt>
      <w:r w:rsidRPr="00DA3682">
        <w:rPr>
          <w:rFonts w:ascii="Arial" w:hAnsi="Arial" w:cs="Arial"/>
        </w:rPr>
        <w:t xml:space="preserve"> has created a </w:t>
      </w:r>
      <w:r w:rsidR="00DA3682" w:rsidRPr="00DA3682">
        <w:rPr>
          <w:rFonts w:ascii="Arial" w:hAnsi="Arial" w:cs="Arial"/>
        </w:rPr>
        <w:t>five</w:t>
      </w:r>
      <w:r w:rsidRPr="00DA3682">
        <w:rPr>
          <w:rFonts w:ascii="Arial" w:hAnsi="Arial" w:cs="Arial"/>
        </w:rPr>
        <w:t xml:space="preserve"> year programme to give additional funding to universities to enhance the experience of college students on this route. </w:t>
      </w:r>
      <w:r w:rsidR="007741C6" w:rsidRPr="00DA3682">
        <w:rPr>
          <w:rFonts w:ascii="Arial" w:hAnsi="Arial" w:cs="Arial"/>
        </w:rPr>
        <w:t>During 2013/14</w:t>
      </w:r>
      <w:r w:rsidR="00C63EDE" w:rsidRPr="00DA3682">
        <w:rPr>
          <w:rFonts w:ascii="Arial" w:hAnsi="Arial" w:cs="Arial"/>
        </w:rPr>
        <w:t>,</w:t>
      </w:r>
      <w:r w:rsidR="007741C6" w:rsidRPr="00DA3682">
        <w:rPr>
          <w:rFonts w:ascii="Arial" w:hAnsi="Arial" w:cs="Arial"/>
        </w:rPr>
        <w:t xml:space="preserve"> t</w:t>
      </w:r>
      <w:r w:rsidR="00A76861" w:rsidRPr="00DA3682">
        <w:rPr>
          <w:rFonts w:ascii="Arial" w:hAnsi="Arial" w:cs="Arial"/>
        </w:rPr>
        <w:t>he School of Computing</w:t>
      </w:r>
      <w:r w:rsidR="00C66063" w:rsidRPr="00DA3682">
        <w:rPr>
          <w:rFonts w:ascii="Arial" w:hAnsi="Arial" w:cs="Arial"/>
        </w:rPr>
        <w:t>’s Associate S</w:t>
      </w:r>
      <w:r w:rsidR="00A76861" w:rsidRPr="00DA3682">
        <w:rPr>
          <w:rFonts w:ascii="Arial" w:hAnsi="Arial" w:cs="Arial"/>
        </w:rPr>
        <w:t xml:space="preserve">tudent </w:t>
      </w:r>
      <w:r w:rsidR="00C66063" w:rsidRPr="00DA3682">
        <w:rPr>
          <w:rFonts w:ascii="Arial" w:hAnsi="Arial" w:cs="Arial"/>
        </w:rPr>
        <w:t>Project</w:t>
      </w:r>
      <w:r w:rsidR="00A76861" w:rsidRPr="00DA3682">
        <w:rPr>
          <w:rFonts w:ascii="Arial" w:hAnsi="Arial" w:cs="Arial"/>
        </w:rPr>
        <w:t xml:space="preserve"> </w:t>
      </w:r>
      <w:r w:rsidR="008A1858">
        <w:rPr>
          <w:rFonts w:ascii="Arial" w:hAnsi="Arial" w:cs="Arial"/>
        </w:rPr>
        <w:t xml:space="preserve">at Edinburgh Napier University, UK, </w:t>
      </w:r>
      <w:r w:rsidR="00C66063" w:rsidRPr="00DA3682">
        <w:rPr>
          <w:rFonts w:ascii="Arial" w:hAnsi="Arial" w:cs="Arial"/>
        </w:rPr>
        <w:t>introduced</w:t>
      </w:r>
      <w:r w:rsidR="007741C6" w:rsidRPr="00DA3682">
        <w:rPr>
          <w:rFonts w:ascii="Arial" w:hAnsi="Arial" w:cs="Arial"/>
        </w:rPr>
        <w:t xml:space="preserve"> a range of </w:t>
      </w:r>
      <w:r w:rsidR="00A76861" w:rsidRPr="00DA3682">
        <w:rPr>
          <w:rFonts w:ascii="Arial" w:hAnsi="Arial" w:cs="Arial"/>
        </w:rPr>
        <w:t xml:space="preserve">partnership and bridging </w:t>
      </w:r>
      <w:r w:rsidR="00D73BDD" w:rsidRPr="00DA3682">
        <w:rPr>
          <w:rFonts w:ascii="Arial" w:hAnsi="Arial" w:cs="Arial"/>
        </w:rPr>
        <w:t>initiatives</w:t>
      </w:r>
      <w:r w:rsidR="00C66063" w:rsidRPr="00DA3682">
        <w:rPr>
          <w:rFonts w:ascii="Arial" w:hAnsi="Arial" w:cs="Arial"/>
        </w:rPr>
        <w:t xml:space="preserve"> to </w:t>
      </w:r>
      <w:r w:rsidR="003650CA" w:rsidRPr="00DA3682">
        <w:rPr>
          <w:rFonts w:ascii="Arial" w:hAnsi="Arial" w:cs="Arial"/>
        </w:rPr>
        <w:t xml:space="preserve">link college and university experience </w:t>
      </w:r>
      <w:r w:rsidR="00C66063" w:rsidRPr="00DA3682">
        <w:rPr>
          <w:rFonts w:ascii="Arial" w:hAnsi="Arial" w:cs="Arial"/>
        </w:rPr>
        <w:t xml:space="preserve">for associate students </w:t>
      </w:r>
      <w:r w:rsidR="003650CA" w:rsidRPr="00DA3682">
        <w:rPr>
          <w:rFonts w:ascii="Arial" w:hAnsi="Arial" w:cs="Arial"/>
        </w:rPr>
        <w:t xml:space="preserve">studying </w:t>
      </w:r>
      <w:r w:rsidR="00C51D29" w:rsidRPr="00DA3682">
        <w:rPr>
          <w:rFonts w:ascii="Arial" w:hAnsi="Arial" w:cs="Arial"/>
        </w:rPr>
        <w:t>C</w:t>
      </w:r>
      <w:r w:rsidR="003650CA" w:rsidRPr="00DA3682">
        <w:rPr>
          <w:rFonts w:ascii="Arial" w:hAnsi="Arial" w:cs="Arial"/>
        </w:rPr>
        <w:t xml:space="preserve">omputing </w:t>
      </w:r>
      <w:r w:rsidR="00C66063" w:rsidRPr="00DA3682">
        <w:rPr>
          <w:rFonts w:ascii="Arial" w:hAnsi="Arial" w:cs="Arial"/>
        </w:rPr>
        <w:t xml:space="preserve">in </w:t>
      </w:r>
      <w:r w:rsidR="003650CA" w:rsidRPr="00DA3682">
        <w:rPr>
          <w:rFonts w:ascii="Arial" w:hAnsi="Arial" w:cs="Arial"/>
        </w:rPr>
        <w:t xml:space="preserve">partner </w:t>
      </w:r>
      <w:r w:rsidR="00C66063" w:rsidRPr="00DA3682">
        <w:rPr>
          <w:rFonts w:ascii="Arial" w:hAnsi="Arial" w:cs="Arial"/>
        </w:rPr>
        <w:t>colleges.</w:t>
      </w:r>
      <w:r w:rsidR="000056E9" w:rsidRPr="00DA3682">
        <w:rPr>
          <w:rFonts w:ascii="Arial" w:hAnsi="Arial" w:cs="Arial"/>
        </w:rPr>
        <w:t xml:space="preserve"> The work is underpinned by a research project, </w:t>
      </w:r>
      <w:r w:rsidR="00365D1D">
        <w:rPr>
          <w:rFonts w:ascii="Arial" w:hAnsi="Arial" w:cs="Arial"/>
        </w:rPr>
        <w:t xml:space="preserve">enabling previous research to be drawn on and evaluating the outcomes of this project </w:t>
      </w:r>
      <w:r w:rsidR="000056E9" w:rsidRPr="00DA3682">
        <w:rPr>
          <w:rFonts w:ascii="Arial" w:hAnsi="Arial" w:cs="Arial"/>
        </w:rPr>
        <w:t>to inform work across the university and beyond.</w:t>
      </w:r>
    </w:p>
    <w:p w:rsidR="000056E9" w:rsidRPr="00DA3682" w:rsidRDefault="000056E9" w:rsidP="00A76861">
      <w:pPr>
        <w:rPr>
          <w:rFonts w:ascii="Arial" w:hAnsi="Arial" w:cs="Arial"/>
        </w:rPr>
      </w:pPr>
    </w:p>
    <w:p w:rsidR="000251B5" w:rsidRPr="00DA3682" w:rsidRDefault="001755A1" w:rsidP="000251B5">
      <w:pPr>
        <w:rPr>
          <w:rFonts w:ascii="Arial" w:hAnsi="Arial" w:cs="Arial"/>
        </w:rPr>
      </w:pPr>
      <w:r w:rsidRPr="00DA3682">
        <w:rPr>
          <w:rFonts w:ascii="Arial" w:hAnsi="Arial" w:cs="Arial"/>
        </w:rPr>
        <w:t>College entrants</w:t>
      </w:r>
      <w:r w:rsidR="000056E9" w:rsidRPr="00DA3682">
        <w:rPr>
          <w:rFonts w:ascii="Arial" w:hAnsi="Arial" w:cs="Arial"/>
        </w:rPr>
        <w:t xml:space="preserve"> to year 2 or 3 of university programmes face a number of challenges. Whereas it is recognised that </w:t>
      </w:r>
      <w:r w:rsidRPr="00DA3682">
        <w:rPr>
          <w:rFonts w:ascii="Arial" w:hAnsi="Arial" w:cs="Arial"/>
        </w:rPr>
        <w:t>year 1 of university</w:t>
      </w:r>
      <w:r w:rsidR="000056E9" w:rsidRPr="00DA3682">
        <w:rPr>
          <w:rFonts w:ascii="Arial" w:hAnsi="Arial" w:cs="Arial"/>
        </w:rPr>
        <w:t xml:space="preserve"> study provides an induction programme, college entrants in the second and third year </w:t>
      </w:r>
      <w:r w:rsidRPr="00DA3682">
        <w:rPr>
          <w:rFonts w:ascii="Arial" w:hAnsi="Arial" w:cs="Arial"/>
        </w:rPr>
        <w:t>have previously been</w:t>
      </w:r>
      <w:r w:rsidR="000056E9" w:rsidRPr="00DA3682">
        <w:rPr>
          <w:rFonts w:ascii="Arial" w:hAnsi="Arial" w:cs="Arial"/>
        </w:rPr>
        <w:t xml:space="preserve"> required to make a comparable transition</w:t>
      </w:r>
      <w:r w:rsidR="003E4D83" w:rsidRPr="00DA3682">
        <w:rPr>
          <w:rFonts w:ascii="Arial" w:hAnsi="Arial" w:cs="Arial"/>
        </w:rPr>
        <w:t xml:space="preserve"> with little support. </w:t>
      </w:r>
      <w:r w:rsidR="000251B5" w:rsidRPr="00DA3682">
        <w:rPr>
          <w:rFonts w:ascii="Arial" w:hAnsi="Arial" w:cs="Arial"/>
        </w:rPr>
        <w:t>Under the Associate Student project, additional academic support is offered to students at the college during their first two years of study. Perhaps as importantly, they are given opportunities to visit the university, meet staff and stude</w:t>
      </w:r>
      <w:r w:rsidR="002A2EB0">
        <w:rPr>
          <w:rFonts w:ascii="Arial" w:hAnsi="Arial" w:cs="Arial"/>
        </w:rPr>
        <w:t>nts and to</w:t>
      </w:r>
      <w:r w:rsidR="000251B5" w:rsidRPr="00DA3682">
        <w:rPr>
          <w:rFonts w:ascii="Arial" w:hAnsi="Arial" w:cs="Arial"/>
        </w:rPr>
        <w:t xml:space="preserve"> attend lectures. College staff are offered support with their teaching and a curriculum working party has identified areas where additional </w:t>
      </w:r>
      <w:r w:rsidR="00365D1D">
        <w:rPr>
          <w:rFonts w:ascii="Arial" w:hAnsi="Arial" w:cs="Arial"/>
        </w:rPr>
        <w:t>materials need to be developed to support articulation.</w:t>
      </w:r>
    </w:p>
    <w:p w:rsidR="000251B5" w:rsidRPr="00DA3682" w:rsidRDefault="000251B5" w:rsidP="000056E9">
      <w:pPr>
        <w:rPr>
          <w:rFonts w:ascii="Arial" w:hAnsi="Arial" w:cs="Arial"/>
        </w:rPr>
      </w:pPr>
    </w:p>
    <w:p w:rsidR="00A76861" w:rsidRPr="00DA3682" w:rsidRDefault="001755A1" w:rsidP="00A76861">
      <w:pPr>
        <w:rPr>
          <w:rFonts w:ascii="Arial" w:hAnsi="Arial" w:cs="Arial"/>
        </w:rPr>
      </w:pPr>
      <w:r w:rsidRPr="00DA3682">
        <w:rPr>
          <w:rFonts w:ascii="Arial" w:hAnsi="Arial" w:cs="Arial"/>
        </w:rPr>
        <w:t xml:space="preserve">Research indicates that college entrants </w:t>
      </w:r>
      <w:r w:rsidR="000056E9" w:rsidRPr="00DA3682">
        <w:rPr>
          <w:rFonts w:ascii="Arial" w:hAnsi="Arial" w:cs="Arial"/>
        </w:rPr>
        <w:t xml:space="preserve">are less likely to take an active part in class, less likely to feel part of the academic community and less likely to get involved in student representation </w:t>
      </w:r>
      <w:sdt>
        <w:sdtPr>
          <w:rPr>
            <w:rFonts w:ascii="Arial" w:hAnsi="Arial" w:cs="Arial"/>
          </w:rPr>
          <w:id w:val="435483301"/>
          <w:citation/>
        </w:sdtPr>
        <w:sdtEndPr/>
        <w:sdtContent>
          <w:r w:rsidR="000056E9" w:rsidRPr="00DA3682">
            <w:rPr>
              <w:rFonts w:ascii="Arial" w:hAnsi="Arial" w:cs="Arial"/>
            </w:rPr>
            <w:fldChar w:fldCharType="begin"/>
          </w:r>
          <w:r w:rsidR="000056E9" w:rsidRPr="00DA3682">
            <w:rPr>
              <w:rFonts w:ascii="Arial" w:hAnsi="Arial" w:cs="Arial"/>
            </w:rPr>
            <w:instrText xml:space="preserve">CITATION Hig13 \l 2057 </w:instrText>
          </w:r>
          <w:r w:rsidR="000056E9" w:rsidRPr="00DA3682">
            <w:rPr>
              <w:rFonts w:ascii="Arial" w:hAnsi="Arial" w:cs="Arial"/>
            </w:rPr>
            <w:fldChar w:fldCharType="separate"/>
          </w:r>
          <w:r w:rsidR="000056E9" w:rsidRPr="00DA3682">
            <w:rPr>
              <w:rFonts w:ascii="Arial" w:hAnsi="Arial" w:cs="Arial"/>
              <w:noProof/>
            </w:rPr>
            <w:t>(Higher Education Academy, National Union of Students, 2013)</w:t>
          </w:r>
          <w:r w:rsidR="000056E9" w:rsidRPr="00DA3682">
            <w:rPr>
              <w:rFonts w:ascii="Arial" w:hAnsi="Arial" w:cs="Arial"/>
            </w:rPr>
            <w:fldChar w:fldCharType="end"/>
          </w:r>
        </w:sdtContent>
      </w:sdt>
      <w:r w:rsidR="000056E9" w:rsidRPr="00DA3682">
        <w:rPr>
          <w:rFonts w:ascii="Arial" w:hAnsi="Arial" w:cs="Arial"/>
        </w:rPr>
        <w:t xml:space="preserve"> </w:t>
      </w:r>
      <w:sdt>
        <w:sdtPr>
          <w:rPr>
            <w:rFonts w:ascii="Arial" w:hAnsi="Arial" w:cs="Arial"/>
          </w:rPr>
          <w:id w:val="-222833760"/>
          <w:citation/>
        </w:sdtPr>
        <w:sdtEndPr/>
        <w:sdtContent>
          <w:r w:rsidR="000056E9" w:rsidRPr="00DA3682">
            <w:rPr>
              <w:rFonts w:ascii="Arial" w:hAnsi="Arial" w:cs="Arial"/>
            </w:rPr>
            <w:fldChar w:fldCharType="begin"/>
          </w:r>
          <w:r w:rsidR="000056E9" w:rsidRPr="00DA3682">
            <w:rPr>
              <w:rFonts w:ascii="Arial" w:hAnsi="Arial" w:cs="Arial"/>
            </w:rPr>
            <w:instrText xml:space="preserve"> CITATION Ing13 \l 2057 </w:instrText>
          </w:r>
          <w:r w:rsidR="000056E9" w:rsidRPr="00DA3682">
            <w:rPr>
              <w:rFonts w:ascii="Arial" w:hAnsi="Arial" w:cs="Arial"/>
            </w:rPr>
            <w:fldChar w:fldCharType="separate"/>
          </w:r>
          <w:r w:rsidR="000056E9" w:rsidRPr="00DA3682">
            <w:rPr>
              <w:rFonts w:ascii="Arial" w:hAnsi="Arial" w:cs="Arial"/>
              <w:noProof/>
            </w:rPr>
            <w:t>(Ingram &amp; Gallacher, 2013)</w:t>
          </w:r>
          <w:r w:rsidR="000056E9" w:rsidRPr="00DA3682">
            <w:rPr>
              <w:rFonts w:ascii="Arial" w:hAnsi="Arial" w:cs="Arial"/>
            </w:rPr>
            <w:fldChar w:fldCharType="end"/>
          </w:r>
        </w:sdtContent>
      </w:sdt>
      <w:r w:rsidR="000056E9" w:rsidRPr="00DA3682">
        <w:rPr>
          <w:rFonts w:ascii="Arial" w:hAnsi="Arial" w:cs="Arial"/>
        </w:rPr>
        <w:t>.  Initial research</w:t>
      </w:r>
      <w:r w:rsidR="00CC24C2" w:rsidRPr="00DA3682">
        <w:rPr>
          <w:rFonts w:ascii="Arial" w:hAnsi="Arial" w:cs="Arial"/>
        </w:rPr>
        <w:t xml:space="preserve"> by </w:t>
      </w:r>
      <w:r w:rsidR="003650CA" w:rsidRPr="00DA3682">
        <w:rPr>
          <w:rFonts w:ascii="Arial" w:hAnsi="Arial" w:cs="Arial"/>
        </w:rPr>
        <w:t xml:space="preserve">the </w:t>
      </w:r>
      <w:r w:rsidRPr="00DA3682">
        <w:rPr>
          <w:rFonts w:ascii="Arial" w:hAnsi="Arial" w:cs="Arial"/>
        </w:rPr>
        <w:t xml:space="preserve">Edinburgh Napier University Computing </w:t>
      </w:r>
      <w:r w:rsidR="003650CA" w:rsidRPr="00DA3682">
        <w:rPr>
          <w:rFonts w:ascii="Arial" w:hAnsi="Arial" w:cs="Arial"/>
        </w:rPr>
        <w:t xml:space="preserve">team </w:t>
      </w:r>
      <w:sdt>
        <w:sdtPr>
          <w:rPr>
            <w:rFonts w:ascii="Arial" w:hAnsi="Arial" w:cs="Arial"/>
          </w:rPr>
          <w:id w:val="1177694431"/>
          <w:citation/>
        </w:sdtPr>
        <w:sdtEndPr/>
        <w:sdtContent>
          <w:r w:rsidR="00CC24C2" w:rsidRPr="00DA3682">
            <w:rPr>
              <w:rFonts w:ascii="Arial" w:hAnsi="Arial" w:cs="Arial"/>
            </w:rPr>
            <w:fldChar w:fldCharType="begin"/>
          </w:r>
          <w:r w:rsidR="00CC24C2" w:rsidRPr="00DA3682">
            <w:rPr>
              <w:rFonts w:ascii="Arial" w:hAnsi="Arial" w:cs="Arial"/>
            </w:rPr>
            <w:instrText xml:space="preserve"> CITATION Meh \l 2057 </w:instrText>
          </w:r>
          <w:r w:rsidR="00CC24C2" w:rsidRPr="00DA3682">
            <w:rPr>
              <w:rFonts w:ascii="Arial" w:hAnsi="Arial" w:cs="Arial"/>
            </w:rPr>
            <w:fldChar w:fldCharType="separate"/>
          </w:r>
          <w:r w:rsidR="002C38E0" w:rsidRPr="00DA3682">
            <w:rPr>
              <w:rFonts w:ascii="Arial" w:hAnsi="Arial" w:cs="Arial"/>
              <w:noProof/>
            </w:rPr>
            <w:t>(Meharg &amp; Fotheringham, 2013)</w:t>
          </w:r>
          <w:r w:rsidR="00CC24C2" w:rsidRPr="00DA3682">
            <w:rPr>
              <w:rFonts w:ascii="Arial" w:hAnsi="Arial" w:cs="Arial"/>
            </w:rPr>
            <w:fldChar w:fldCharType="end"/>
          </w:r>
        </w:sdtContent>
      </w:sdt>
      <w:r w:rsidR="00CC24C2" w:rsidRPr="00DA3682">
        <w:rPr>
          <w:rFonts w:ascii="Arial" w:hAnsi="Arial" w:cs="Arial"/>
        </w:rPr>
        <w:t xml:space="preserve"> argued that giving college students the status of Associate Student of the university did not, in itself, support students to become more effective learners. </w:t>
      </w:r>
      <w:r w:rsidR="003650CA" w:rsidRPr="00DA3682">
        <w:rPr>
          <w:rFonts w:ascii="Arial" w:hAnsi="Arial" w:cs="Arial"/>
        </w:rPr>
        <w:t>F</w:t>
      </w:r>
      <w:r w:rsidR="00CC24C2" w:rsidRPr="00DA3682">
        <w:rPr>
          <w:rFonts w:ascii="Arial" w:hAnsi="Arial" w:cs="Arial"/>
        </w:rPr>
        <w:t xml:space="preserve">ocus groups with articulating students </w:t>
      </w:r>
      <w:r w:rsidR="00394B6B" w:rsidRPr="00DA3682">
        <w:rPr>
          <w:rFonts w:ascii="Arial" w:hAnsi="Arial" w:cs="Arial"/>
        </w:rPr>
        <w:t>suggested</w:t>
      </w:r>
      <w:r w:rsidR="003650CA" w:rsidRPr="00DA3682">
        <w:rPr>
          <w:rFonts w:ascii="Arial" w:hAnsi="Arial" w:cs="Arial"/>
        </w:rPr>
        <w:t xml:space="preserve"> that </w:t>
      </w:r>
      <w:r w:rsidRPr="00DA3682">
        <w:rPr>
          <w:rFonts w:ascii="Arial" w:hAnsi="Arial" w:cs="Arial"/>
        </w:rPr>
        <w:t>social integration could</w:t>
      </w:r>
      <w:r w:rsidR="00CC24C2" w:rsidRPr="00DA3682">
        <w:rPr>
          <w:rFonts w:ascii="Arial" w:hAnsi="Arial" w:cs="Arial"/>
        </w:rPr>
        <w:t xml:space="preserve"> improve </w:t>
      </w:r>
      <w:r w:rsidR="00394B6B" w:rsidRPr="00DA3682">
        <w:rPr>
          <w:rFonts w:ascii="Arial" w:hAnsi="Arial" w:cs="Arial"/>
        </w:rPr>
        <w:t xml:space="preserve">retention and academic </w:t>
      </w:r>
      <w:r w:rsidR="00CC24C2" w:rsidRPr="00DA3682">
        <w:rPr>
          <w:rFonts w:ascii="Arial" w:hAnsi="Arial" w:cs="Arial"/>
        </w:rPr>
        <w:t>performance</w:t>
      </w:r>
      <w:r w:rsidR="00004179" w:rsidRPr="00DA3682">
        <w:rPr>
          <w:rFonts w:ascii="Arial" w:hAnsi="Arial" w:cs="Arial"/>
        </w:rPr>
        <w:t>.</w:t>
      </w:r>
      <w:r w:rsidR="00394B6B" w:rsidRPr="00DA3682">
        <w:rPr>
          <w:rFonts w:ascii="Arial" w:hAnsi="Arial" w:cs="Arial"/>
        </w:rPr>
        <w:t xml:space="preserve"> A</w:t>
      </w:r>
      <w:r w:rsidR="00CC24C2" w:rsidRPr="00DA3682">
        <w:rPr>
          <w:rFonts w:ascii="Arial" w:hAnsi="Arial" w:cs="Arial"/>
        </w:rPr>
        <w:t xml:space="preserve"> large scale survey </w:t>
      </w:r>
      <w:r w:rsidR="00004179" w:rsidRPr="00DA3682">
        <w:rPr>
          <w:rFonts w:ascii="Arial" w:hAnsi="Arial" w:cs="Arial"/>
        </w:rPr>
        <w:t xml:space="preserve">of </w:t>
      </w:r>
      <w:r w:rsidR="00CC24C2" w:rsidRPr="00DA3682">
        <w:rPr>
          <w:rFonts w:ascii="Arial" w:hAnsi="Arial" w:cs="Arial"/>
        </w:rPr>
        <w:t xml:space="preserve">students in the School of Computing </w:t>
      </w:r>
      <w:r w:rsidR="00004179" w:rsidRPr="00DA3682">
        <w:rPr>
          <w:rFonts w:ascii="Arial" w:hAnsi="Arial" w:cs="Arial"/>
        </w:rPr>
        <w:t xml:space="preserve">has </w:t>
      </w:r>
      <w:r w:rsidR="00CC24C2" w:rsidRPr="00DA3682">
        <w:rPr>
          <w:rFonts w:ascii="Arial" w:hAnsi="Arial" w:cs="Arial"/>
        </w:rPr>
        <w:t>examin</w:t>
      </w:r>
      <w:r w:rsidR="00004179" w:rsidRPr="00DA3682">
        <w:rPr>
          <w:rFonts w:ascii="Arial" w:hAnsi="Arial" w:cs="Arial"/>
        </w:rPr>
        <w:t>ed</w:t>
      </w:r>
      <w:r w:rsidR="00CC24C2" w:rsidRPr="00DA3682">
        <w:rPr>
          <w:rFonts w:ascii="Arial" w:hAnsi="Arial" w:cs="Arial"/>
        </w:rPr>
        <w:t xml:space="preserve"> differing attitudes and approaches between </w:t>
      </w:r>
      <w:r w:rsidR="00394B6B" w:rsidRPr="00DA3682">
        <w:rPr>
          <w:rFonts w:ascii="Arial" w:hAnsi="Arial" w:cs="Arial"/>
        </w:rPr>
        <w:t xml:space="preserve">college students </w:t>
      </w:r>
      <w:r w:rsidR="00CC24C2" w:rsidRPr="00DA3682">
        <w:rPr>
          <w:rFonts w:ascii="Arial" w:hAnsi="Arial" w:cs="Arial"/>
        </w:rPr>
        <w:lastRenderedPageBreak/>
        <w:t xml:space="preserve">and </w:t>
      </w:r>
      <w:r w:rsidR="00394B6B" w:rsidRPr="00DA3682">
        <w:rPr>
          <w:rFonts w:ascii="Arial" w:hAnsi="Arial" w:cs="Arial"/>
        </w:rPr>
        <w:t>continuing students at the university</w:t>
      </w:r>
      <w:r w:rsidR="00CC24C2" w:rsidRPr="00DA3682">
        <w:rPr>
          <w:rFonts w:ascii="Arial" w:hAnsi="Arial" w:cs="Arial"/>
        </w:rPr>
        <w:t xml:space="preserve">.  </w:t>
      </w:r>
      <w:r w:rsidR="00004179" w:rsidRPr="00DA3682">
        <w:rPr>
          <w:rFonts w:ascii="Arial" w:hAnsi="Arial" w:cs="Arial"/>
        </w:rPr>
        <w:t xml:space="preserve">Findings from these investigations has led to </w:t>
      </w:r>
      <w:r w:rsidR="00663676" w:rsidRPr="00DA3682">
        <w:rPr>
          <w:rFonts w:ascii="Arial" w:hAnsi="Arial" w:cs="Arial"/>
        </w:rPr>
        <w:t xml:space="preserve">the development of </w:t>
      </w:r>
      <w:r w:rsidR="00CC24C2" w:rsidRPr="00DA3682">
        <w:rPr>
          <w:rFonts w:ascii="Arial" w:hAnsi="Arial" w:cs="Arial"/>
        </w:rPr>
        <w:t xml:space="preserve">new interventions </w:t>
      </w:r>
      <w:r w:rsidR="005B2871" w:rsidRPr="00DA3682">
        <w:rPr>
          <w:rFonts w:ascii="Arial" w:hAnsi="Arial" w:cs="Arial"/>
        </w:rPr>
        <w:t>addressing</w:t>
      </w:r>
      <w:r w:rsidR="00426118" w:rsidRPr="00DA3682">
        <w:rPr>
          <w:rFonts w:ascii="Arial" w:hAnsi="Arial" w:cs="Arial"/>
        </w:rPr>
        <w:t xml:space="preserve"> </w:t>
      </w:r>
      <w:r w:rsidR="00120389" w:rsidRPr="00DA3682">
        <w:rPr>
          <w:rFonts w:ascii="Arial" w:hAnsi="Arial" w:cs="Arial"/>
        </w:rPr>
        <w:t>social relationships</w:t>
      </w:r>
      <w:r w:rsidR="00C51D29" w:rsidRPr="00DA3682">
        <w:rPr>
          <w:rFonts w:ascii="Arial" w:hAnsi="Arial" w:cs="Arial"/>
        </w:rPr>
        <w:t xml:space="preserve"> </w:t>
      </w:r>
      <w:r w:rsidR="00C63EDE" w:rsidRPr="00DA3682">
        <w:rPr>
          <w:rFonts w:ascii="Arial" w:hAnsi="Arial" w:cs="Arial"/>
        </w:rPr>
        <w:t>(Tinto, 1997 &amp; Crisp, 2010)</w:t>
      </w:r>
      <w:r w:rsidR="00004179" w:rsidRPr="00DA3682">
        <w:rPr>
          <w:rFonts w:ascii="Arial" w:hAnsi="Arial" w:cs="Arial"/>
        </w:rPr>
        <w:t xml:space="preserve">, </w:t>
      </w:r>
      <w:r w:rsidR="00120389" w:rsidRPr="00DA3682">
        <w:rPr>
          <w:rFonts w:ascii="Arial" w:hAnsi="Arial" w:cs="Arial"/>
        </w:rPr>
        <w:t>increas</w:t>
      </w:r>
      <w:r w:rsidR="00004179" w:rsidRPr="00DA3682">
        <w:rPr>
          <w:rFonts w:ascii="Arial" w:hAnsi="Arial" w:cs="Arial"/>
        </w:rPr>
        <w:t>ing</w:t>
      </w:r>
      <w:r w:rsidR="00120389" w:rsidRPr="00DA3682">
        <w:rPr>
          <w:rFonts w:ascii="Arial" w:hAnsi="Arial" w:cs="Arial"/>
        </w:rPr>
        <w:t xml:space="preserve"> </w:t>
      </w:r>
      <w:r w:rsidR="00CC24C2" w:rsidRPr="00DA3682">
        <w:rPr>
          <w:rFonts w:ascii="Arial" w:hAnsi="Arial" w:cs="Arial"/>
        </w:rPr>
        <w:t xml:space="preserve">the </w:t>
      </w:r>
      <w:r w:rsidR="00394B6B" w:rsidRPr="00DA3682">
        <w:rPr>
          <w:rFonts w:ascii="Arial" w:hAnsi="Arial" w:cs="Arial"/>
        </w:rPr>
        <w:t xml:space="preserve">role </w:t>
      </w:r>
      <w:r w:rsidR="00004179" w:rsidRPr="00DA3682">
        <w:rPr>
          <w:rFonts w:ascii="Arial" w:hAnsi="Arial" w:cs="Arial"/>
        </w:rPr>
        <w:t>of</w:t>
      </w:r>
      <w:r w:rsidR="004C04FF" w:rsidRPr="00DA3682">
        <w:rPr>
          <w:rFonts w:ascii="Arial" w:hAnsi="Arial" w:cs="Arial"/>
        </w:rPr>
        <w:t xml:space="preserve"> peer support</w:t>
      </w:r>
      <w:r w:rsidR="00394B6B" w:rsidRPr="00DA3682">
        <w:rPr>
          <w:rFonts w:ascii="Arial" w:hAnsi="Arial" w:cs="Arial"/>
        </w:rPr>
        <w:t xml:space="preserve"> for college to university transition, in addition to academic support</w:t>
      </w:r>
      <w:r w:rsidR="00CC24C2" w:rsidRPr="00DA3682">
        <w:rPr>
          <w:rFonts w:ascii="Arial" w:hAnsi="Arial" w:cs="Arial"/>
        </w:rPr>
        <w:t xml:space="preserve">. </w:t>
      </w:r>
      <w:r w:rsidR="00376B84" w:rsidRPr="00DA3682">
        <w:rPr>
          <w:rFonts w:ascii="Arial" w:hAnsi="Arial" w:cs="Arial"/>
        </w:rPr>
        <w:t>These measures are</w:t>
      </w:r>
      <w:r w:rsidR="00663676" w:rsidRPr="00DA3682">
        <w:rPr>
          <w:rFonts w:ascii="Arial" w:hAnsi="Arial" w:cs="Arial"/>
        </w:rPr>
        <w:t xml:space="preserve"> designed to </w:t>
      </w:r>
      <w:r w:rsidR="000D759D" w:rsidRPr="00DA3682">
        <w:rPr>
          <w:rFonts w:ascii="Arial" w:hAnsi="Arial" w:cs="Arial"/>
        </w:rPr>
        <w:t>increase social integration and give a voice to a group of students</w:t>
      </w:r>
      <w:r w:rsidR="00A76861" w:rsidRPr="00DA3682">
        <w:rPr>
          <w:rFonts w:ascii="Arial" w:hAnsi="Arial" w:cs="Arial"/>
        </w:rPr>
        <w:t xml:space="preserve"> who have sometimes been considered invisible </w:t>
      </w:r>
      <w:sdt>
        <w:sdtPr>
          <w:rPr>
            <w:rFonts w:ascii="Arial" w:hAnsi="Arial" w:cs="Arial"/>
          </w:rPr>
          <w:id w:val="424928000"/>
          <w:citation/>
        </w:sdtPr>
        <w:sdtEndPr/>
        <w:sdtContent>
          <w:r w:rsidR="00A76861" w:rsidRPr="00DA3682">
            <w:rPr>
              <w:rFonts w:ascii="Arial" w:hAnsi="Arial" w:cs="Arial"/>
            </w:rPr>
            <w:fldChar w:fldCharType="begin"/>
          </w:r>
          <w:r w:rsidR="00A76861" w:rsidRPr="00DA3682">
            <w:rPr>
              <w:rFonts w:ascii="Arial" w:hAnsi="Arial" w:cs="Arial"/>
            </w:rPr>
            <w:instrText xml:space="preserve"> CITATION Chr11 \l 2057 </w:instrText>
          </w:r>
          <w:r w:rsidR="00A76861" w:rsidRPr="00DA3682">
            <w:rPr>
              <w:rFonts w:ascii="Arial" w:hAnsi="Arial" w:cs="Arial"/>
            </w:rPr>
            <w:fldChar w:fldCharType="separate"/>
          </w:r>
          <w:r w:rsidR="002C38E0" w:rsidRPr="00DA3682">
            <w:rPr>
              <w:rFonts w:ascii="Arial" w:hAnsi="Arial" w:cs="Arial"/>
              <w:noProof/>
            </w:rPr>
            <w:t>(Christe, Barron, &amp; D'Annunzio-Green, 2011)</w:t>
          </w:r>
          <w:r w:rsidR="00A76861" w:rsidRPr="00DA3682">
            <w:rPr>
              <w:rFonts w:ascii="Arial" w:hAnsi="Arial" w:cs="Arial"/>
            </w:rPr>
            <w:fldChar w:fldCharType="end"/>
          </w:r>
        </w:sdtContent>
      </w:sdt>
      <w:r w:rsidR="000D759D" w:rsidRPr="00DA3682">
        <w:rPr>
          <w:rFonts w:ascii="Arial" w:hAnsi="Arial" w:cs="Arial"/>
        </w:rPr>
        <w:t>.</w:t>
      </w:r>
      <w:r w:rsidR="00663676" w:rsidRPr="00DA3682">
        <w:rPr>
          <w:rFonts w:ascii="Arial" w:hAnsi="Arial" w:cs="Arial"/>
        </w:rPr>
        <w:t xml:space="preserve"> </w:t>
      </w:r>
    </w:p>
    <w:p w:rsidR="00376B84" w:rsidRPr="00DA3682" w:rsidRDefault="00376B84" w:rsidP="00A76861">
      <w:pPr>
        <w:rPr>
          <w:rFonts w:ascii="Arial" w:hAnsi="Arial" w:cs="Arial"/>
        </w:rPr>
      </w:pPr>
    </w:p>
    <w:p w:rsidR="00D85E24" w:rsidRDefault="00376B84" w:rsidP="00D92236">
      <w:pPr>
        <w:rPr>
          <w:rFonts w:ascii="Arial" w:hAnsi="Arial" w:cs="Arial"/>
        </w:rPr>
      </w:pPr>
      <w:r w:rsidRPr="00DA3682">
        <w:rPr>
          <w:rFonts w:ascii="Arial" w:hAnsi="Arial" w:cs="Arial"/>
        </w:rPr>
        <w:t>The paper will discuss the extent to which articulating from college to university creates an educational pathway that is a genuine opportunity for degree achievement. It will also examine the effectiveness of a range of strategies for removing barriers and providing additional support for students on this route.</w:t>
      </w:r>
      <w:r w:rsidR="00D92236" w:rsidRPr="00DA3682">
        <w:rPr>
          <w:rFonts w:ascii="Arial" w:hAnsi="Arial" w:cs="Arial"/>
        </w:rPr>
        <w:t xml:space="preserve">                </w:t>
      </w:r>
    </w:p>
    <w:p w:rsidR="00D85E24" w:rsidRDefault="00D85E24" w:rsidP="00D92236">
      <w:pPr>
        <w:rPr>
          <w:rFonts w:ascii="Arial" w:hAnsi="Arial" w:cs="Arial"/>
        </w:rPr>
      </w:pPr>
    </w:p>
    <w:p w:rsidR="00D85E24" w:rsidRDefault="00D85E24" w:rsidP="00D92236">
      <w:pPr>
        <w:rPr>
          <w:rFonts w:ascii="Arial" w:hAnsi="Arial" w:cs="Arial"/>
        </w:rPr>
      </w:pPr>
      <w:r>
        <w:rPr>
          <w:rFonts w:ascii="Arial" w:hAnsi="Arial" w:cs="Arial"/>
        </w:rPr>
        <w:t>Debbie Meharg and Jenny Tizard</w:t>
      </w:r>
    </w:p>
    <w:p w:rsidR="00D92236" w:rsidRDefault="00D85E24" w:rsidP="00D92236">
      <w:pPr>
        <w:rPr>
          <w:rFonts w:ascii="Arial" w:hAnsi="Arial" w:cs="Arial"/>
        </w:rPr>
      </w:pPr>
      <w:r>
        <w:rPr>
          <w:rFonts w:ascii="Arial" w:hAnsi="Arial" w:cs="Arial"/>
        </w:rPr>
        <w:t>Edinburgh Napier University</w:t>
      </w:r>
      <w:r w:rsidR="00D92236" w:rsidRPr="00DA3682">
        <w:rPr>
          <w:rFonts w:ascii="Arial" w:hAnsi="Arial" w:cs="Arial"/>
        </w:rPr>
        <w:t xml:space="preserve">              </w:t>
      </w:r>
    </w:p>
    <w:p w:rsidR="00D85E24" w:rsidRDefault="00D85E24" w:rsidP="00D92236">
      <w:pPr>
        <w:rPr>
          <w:rFonts w:ascii="Arial" w:hAnsi="Arial" w:cs="Arial"/>
        </w:rPr>
      </w:pPr>
    </w:p>
    <w:sdt>
      <w:sdtPr>
        <w:rPr>
          <w:rFonts w:asciiTheme="minorHAnsi" w:eastAsiaTheme="minorHAnsi" w:hAnsiTheme="minorHAnsi" w:cstheme="minorBidi"/>
          <w:color w:val="auto"/>
          <w:sz w:val="22"/>
          <w:szCs w:val="22"/>
          <w:lang w:val="en-GB"/>
        </w:rPr>
        <w:id w:val="2115708632"/>
        <w:docPartObj>
          <w:docPartGallery w:val="Bibliographies"/>
          <w:docPartUnique/>
        </w:docPartObj>
      </w:sdtPr>
      <w:sdtEndPr/>
      <w:sdtContent>
        <w:p w:rsidR="003D4655" w:rsidRDefault="003D4655">
          <w:pPr>
            <w:pStyle w:val="Heading1"/>
          </w:pPr>
          <w:r>
            <w:t>References</w:t>
          </w:r>
        </w:p>
        <w:sdt>
          <w:sdtPr>
            <w:id w:val="-573587230"/>
            <w:bibliography/>
          </w:sdtPr>
          <w:sdtEndPr/>
          <w:sdtContent>
            <w:p w:rsidR="003D4655" w:rsidRDefault="003D4655" w:rsidP="003D4655">
              <w:pPr>
                <w:pStyle w:val="Bibliography"/>
                <w:ind w:hanging="720"/>
                <w:rPr>
                  <w:noProof/>
                  <w:sz w:val="24"/>
                  <w:szCs w:val="24"/>
                  <w:lang w:val="en-US"/>
                </w:rPr>
              </w:pPr>
              <w:r>
                <w:fldChar w:fldCharType="begin"/>
              </w:r>
              <w:r>
                <w:instrText xml:space="preserve"> BIBLIOGRAPHY </w:instrText>
              </w:r>
              <w:r>
                <w:fldChar w:fldCharType="separate"/>
              </w:r>
              <w:r>
                <w:rPr>
                  <w:noProof/>
                  <w:lang w:val="en-US"/>
                </w:rPr>
                <w:t xml:space="preserve">Christe, H., Barron, P., &amp; D'Annunzio-Green, N. (2011). Direct Entrants in Transition: becoming independent learners. </w:t>
              </w:r>
              <w:r>
                <w:rPr>
                  <w:i/>
                  <w:iCs/>
                  <w:noProof/>
                  <w:lang w:val="en-US"/>
                </w:rPr>
                <w:t>Studies in Higher Education, 38</w:t>
              </w:r>
              <w:r>
                <w:rPr>
                  <w:noProof/>
                  <w:lang w:val="en-US"/>
                </w:rPr>
                <w:t>(4), 623-637.</w:t>
              </w:r>
            </w:p>
            <w:p w:rsidR="003D4655" w:rsidRDefault="003D4655" w:rsidP="003D4655">
              <w:pPr>
                <w:pStyle w:val="Bibliography"/>
                <w:ind w:hanging="720"/>
                <w:rPr>
                  <w:noProof/>
                  <w:lang w:val="en-US"/>
                </w:rPr>
              </w:pPr>
              <w:r>
                <w:rPr>
                  <w:noProof/>
                  <w:lang w:val="en-US"/>
                </w:rPr>
                <w:t xml:space="preserve">Higher Education Academy, National Union of Students. (2013). </w:t>
              </w:r>
              <w:r>
                <w:rPr>
                  <w:i/>
                  <w:iCs/>
                  <w:noProof/>
                  <w:lang w:val="en-US"/>
                </w:rPr>
                <w:t>Learning Journeys for All.</w:t>
              </w:r>
              <w:r>
                <w:rPr>
                  <w:noProof/>
                  <w:lang w:val="en-US"/>
                </w:rPr>
                <w:t xml:space="preserve"> Edinburgh: Higher Education Academy.</w:t>
              </w:r>
            </w:p>
            <w:p w:rsidR="003D4655" w:rsidRDefault="003D4655" w:rsidP="003D4655">
              <w:pPr>
                <w:pStyle w:val="Bibliography"/>
                <w:ind w:hanging="720"/>
                <w:rPr>
                  <w:noProof/>
                  <w:lang w:val="en-US"/>
                </w:rPr>
              </w:pPr>
              <w:r>
                <w:rPr>
                  <w:noProof/>
                  <w:lang w:val="en-US"/>
                </w:rPr>
                <w:t xml:space="preserve">Ingram, R., &amp; Gallacher, J. (2013). </w:t>
              </w:r>
              <w:r>
                <w:rPr>
                  <w:i/>
                  <w:iCs/>
                  <w:noProof/>
                  <w:lang w:val="en-US"/>
                </w:rPr>
                <w:t>Making the Transition from College to University.</w:t>
              </w:r>
              <w:r>
                <w:rPr>
                  <w:noProof/>
                  <w:lang w:val="en-US"/>
                </w:rPr>
                <w:t xml:space="preserve"> Glasgow: Glasgow Caledonian University.</w:t>
              </w:r>
            </w:p>
            <w:p w:rsidR="003D4655" w:rsidRDefault="003D4655" w:rsidP="003D4655">
              <w:pPr>
                <w:pStyle w:val="Bibliography"/>
                <w:ind w:hanging="720"/>
                <w:rPr>
                  <w:noProof/>
                  <w:lang w:val="en-US"/>
                </w:rPr>
              </w:pPr>
              <w:r>
                <w:rPr>
                  <w:noProof/>
                  <w:lang w:val="en-US"/>
                </w:rPr>
                <w:t>Meharg, D., &amp; Fotheringham, J. (2013). Partnership and Preparation: A new model of transition from college to university.</w:t>
              </w:r>
            </w:p>
            <w:p w:rsidR="003D4655" w:rsidRDefault="003D4655" w:rsidP="003D4655">
              <w:pPr>
                <w:pStyle w:val="Bibliography"/>
                <w:ind w:hanging="720"/>
                <w:rPr>
                  <w:noProof/>
                  <w:lang w:val="en-US"/>
                </w:rPr>
              </w:pPr>
              <w:r>
                <w:rPr>
                  <w:noProof/>
                  <w:lang w:val="en-US"/>
                </w:rPr>
                <w:t xml:space="preserve">Scottish Credit and Qualifications Framework Partnership . (2014). </w:t>
              </w:r>
              <w:r>
                <w:rPr>
                  <w:i/>
                  <w:iCs/>
                  <w:noProof/>
                  <w:lang w:val="en-US"/>
                </w:rPr>
                <w:t>Scottish Credit and Qualifications Framework/ The Framework</w:t>
              </w:r>
              <w:r>
                <w:rPr>
                  <w:noProof/>
                  <w:lang w:val="en-US"/>
                </w:rPr>
                <w:t>. Retrieved from Scottish Credit and Qualifications Framework Website: http://scqf.org.uk/</w:t>
              </w:r>
            </w:p>
            <w:p w:rsidR="003D4655" w:rsidRDefault="003D4655" w:rsidP="003D4655">
              <w:pPr>
                <w:pStyle w:val="Bibliography"/>
                <w:ind w:hanging="720"/>
                <w:rPr>
                  <w:noProof/>
                  <w:lang w:val="en-US"/>
                </w:rPr>
              </w:pPr>
              <w:r>
                <w:rPr>
                  <w:noProof/>
                  <w:lang w:val="en-US"/>
                </w:rPr>
                <w:t xml:space="preserve">Scottish Funding Council. (2013). </w:t>
              </w:r>
              <w:r>
                <w:rPr>
                  <w:i/>
                  <w:iCs/>
                  <w:noProof/>
                  <w:lang w:val="en-US"/>
                </w:rPr>
                <w:t>Additional articulation places for partnership between colleges and universities.</w:t>
              </w:r>
              <w:r>
                <w:rPr>
                  <w:noProof/>
                  <w:lang w:val="en-US"/>
                </w:rPr>
                <w:t xml:space="preserve"> Edinburgh.</w:t>
              </w:r>
            </w:p>
            <w:p w:rsidR="003D4655" w:rsidRDefault="003D4655" w:rsidP="003D4655">
              <w:r>
                <w:rPr>
                  <w:b/>
                  <w:bCs/>
                  <w:noProof/>
                </w:rPr>
                <w:fldChar w:fldCharType="end"/>
              </w:r>
            </w:p>
          </w:sdtContent>
        </w:sdt>
      </w:sdtContent>
    </w:sdt>
    <w:p w:rsidR="003D4655" w:rsidRPr="00DA3682" w:rsidRDefault="003D4655" w:rsidP="00D92236">
      <w:pPr>
        <w:rPr>
          <w:rFonts w:ascii="Arial" w:hAnsi="Arial" w:cs="Arial"/>
        </w:rPr>
      </w:pPr>
    </w:p>
    <w:sectPr w:rsidR="003D4655" w:rsidRPr="00DA3682" w:rsidSect="00D9223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82C" w:rsidRDefault="0090482C" w:rsidP="00184218">
      <w:pPr>
        <w:spacing w:line="240" w:lineRule="auto"/>
      </w:pPr>
      <w:r>
        <w:separator/>
      </w:r>
    </w:p>
  </w:endnote>
  <w:endnote w:type="continuationSeparator" w:id="0">
    <w:p w:rsidR="0090482C" w:rsidRDefault="0090482C" w:rsidP="00184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82C" w:rsidRDefault="0090482C" w:rsidP="00184218">
      <w:pPr>
        <w:spacing w:line="240" w:lineRule="auto"/>
      </w:pPr>
      <w:r>
        <w:separator/>
      </w:r>
    </w:p>
  </w:footnote>
  <w:footnote w:type="continuationSeparator" w:id="0">
    <w:p w:rsidR="0090482C" w:rsidRDefault="0090482C" w:rsidP="001842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C0167"/>
    <w:multiLevelType w:val="hybridMultilevel"/>
    <w:tmpl w:val="F71C7A5E"/>
    <w:lvl w:ilvl="0" w:tplc="08090001">
      <w:start w:val="1"/>
      <w:numFmt w:val="bullet"/>
      <w:lvlText w:val=""/>
      <w:lvlJc w:val="left"/>
      <w:pPr>
        <w:ind w:left="1606" w:hanging="360"/>
      </w:pPr>
      <w:rPr>
        <w:rFonts w:ascii="Symbol" w:hAnsi="Symbol"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18"/>
    <w:rsid w:val="00004179"/>
    <w:rsid w:val="000056E9"/>
    <w:rsid w:val="000251B5"/>
    <w:rsid w:val="000C2889"/>
    <w:rsid w:val="000D759D"/>
    <w:rsid w:val="0010695A"/>
    <w:rsid w:val="00120389"/>
    <w:rsid w:val="001755A1"/>
    <w:rsid w:val="00184218"/>
    <w:rsid w:val="001A13ED"/>
    <w:rsid w:val="001F34AF"/>
    <w:rsid w:val="001F673A"/>
    <w:rsid w:val="002005E2"/>
    <w:rsid w:val="002A2EB0"/>
    <w:rsid w:val="002C38E0"/>
    <w:rsid w:val="0036497D"/>
    <w:rsid w:val="003650CA"/>
    <w:rsid w:val="00365D1D"/>
    <w:rsid w:val="00376B84"/>
    <w:rsid w:val="00394B6B"/>
    <w:rsid w:val="003B1B1A"/>
    <w:rsid w:val="003D4655"/>
    <w:rsid w:val="003E4D83"/>
    <w:rsid w:val="004077B7"/>
    <w:rsid w:val="00426118"/>
    <w:rsid w:val="004C04FF"/>
    <w:rsid w:val="004E13C9"/>
    <w:rsid w:val="00500A24"/>
    <w:rsid w:val="005B2871"/>
    <w:rsid w:val="006528CA"/>
    <w:rsid w:val="00663007"/>
    <w:rsid w:val="00663676"/>
    <w:rsid w:val="007351B2"/>
    <w:rsid w:val="00760974"/>
    <w:rsid w:val="007741C6"/>
    <w:rsid w:val="007C3A97"/>
    <w:rsid w:val="007C53BF"/>
    <w:rsid w:val="0080417E"/>
    <w:rsid w:val="008A1858"/>
    <w:rsid w:val="0090482C"/>
    <w:rsid w:val="009C3AF5"/>
    <w:rsid w:val="00A6698D"/>
    <w:rsid w:val="00A76861"/>
    <w:rsid w:val="00C20FCD"/>
    <w:rsid w:val="00C33DE5"/>
    <w:rsid w:val="00C51D29"/>
    <w:rsid w:val="00C63EDE"/>
    <w:rsid w:val="00C66063"/>
    <w:rsid w:val="00C9744B"/>
    <w:rsid w:val="00CC24C2"/>
    <w:rsid w:val="00D020D3"/>
    <w:rsid w:val="00D532A3"/>
    <w:rsid w:val="00D73BDD"/>
    <w:rsid w:val="00D85E24"/>
    <w:rsid w:val="00D92236"/>
    <w:rsid w:val="00DA3682"/>
    <w:rsid w:val="00DC32D7"/>
    <w:rsid w:val="00E71B6E"/>
    <w:rsid w:val="00E77562"/>
    <w:rsid w:val="00E938FF"/>
    <w:rsid w:val="00EB613C"/>
    <w:rsid w:val="00FB3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0B010-DD19-4DFD-A38D-F502811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655"/>
    <w:pPr>
      <w:keepNext/>
      <w:keepLines/>
      <w:spacing w:before="240" w:line="259" w:lineRule="auto"/>
      <w:ind w:left="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4218"/>
    <w:pPr>
      <w:spacing w:line="240" w:lineRule="auto"/>
      <w:ind w:left="0"/>
    </w:pPr>
    <w:rPr>
      <w:sz w:val="20"/>
      <w:szCs w:val="20"/>
    </w:rPr>
  </w:style>
  <w:style w:type="character" w:customStyle="1" w:styleId="FootnoteTextChar">
    <w:name w:val="Footnote Text Char"/>
    <w:basedOn w:val="DefaultParagraphFont"/>
    <w:link w:val="FootnoteText"/>
    <w:uiPriority w:val="99"/>
    <w:semiHidden/>
    <w:rsid w:val="00184218"/>
    <w:rPr>
      <w:sz w:val="20"/>
      <w:szCs w:val="20"/>
    </w:rPr>
  </w:style>
  <w:style w:type="character" w:styleId="FootnoteReference">
    <w:name w:val="footnote reference"/>
    <w:basedOn w:val="DefaultParagraphFont"/>
    <w:uiPriority w:val="99"/>
    <w:semiHidden/>
    <w:unhideWhenUsed/>
    <w:rsid w:val="00184218"/>
    <w:rPr>
      <w:vertAlign w:val="superscript"/>
    </w:rPr>
  </w:style>
  <w:style w:type="paragraph" w:styleId="BalloonText">
    <w:name w:val="Balloon Text"/>
    <w:basedOn w:val="Normal"/>
    <w:link w:val="BalloonTextChar"/>
    <w:uiPriority w:val="99"/>
    <w:semiHidden/>
    <w:unhideWhenUsed/>
    <w:rsid w:val="001F67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3A"/>
    <w:rPr>
      <w:rFonts w:ascii="Segoe UI" w:hAnsi="Segoe UI" w:cs="Segoe UI"/>
      <w:sz w:val="18"/>
      <w:szCs w:val="18"/>
    </w:rPr>
  </w:style>
  <w:style w:type="paragraph" w:styleId="Revision">
    <w:name w:val="Revision"/>
    <w:hidden/>
    <w:uiPriority w:val="99"/>
    <w:semiHidden/>
    <w:rsid w:val="003650CA"/>
    <w:pPr>
      <w:spacing w:line="240" w:lineRule="auto"/>
      <w:ind w:left="0"/>
    </w:pPr>
  </w:style>
  <w:style w:type="character" w:styleId="Strong">
    <w:name w:val="Strong"/>
    <w:basedOn w:val="DefaultParagraphFont"/>
    <w:uiPriority w:val="22"/>
    <w:qFormat/>
    <w:rsid w:val="00DA3682"/>
    <w:rPr>
      <w:b/>
      <w:bCs/>
    </w:rPr>
  </w:style>
  <w:style w:type="paragraph" w:styleId="ListParagraph">
    <w:name w:val="List Paragraph"/>
    <w:basedOn w:val="Normal"/>
    <w:uiPriority w:val="34"/>
    <w:qFormat/>
    <w:rsid w:val="00DA3682"/>
    <w:pPr>
      <w:contextualSpacing/>
    </w:pPr>
  </w:style>
  <w:style w:type="character" w:customStyle="1" w:styleId="Heading1Char">
    <w:name w:val="Heading 1 Char"/>
    <w:basedOn w:val="DefaultParagraphFont"/>
    <w:link w:val="Heading1"/>
    <w:uiPriority w:val="9"/>
    <w:rsid w:val="003D4655"/>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3D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0971">
      <w:bodyDiv w:val="1"/>
      <w:marLeft w:val="0"/>
      <w:marRight w:val="0"/>
      <w:marTop w:val="0"/>
      <w:marBottom w:val="0"/>
      <w:divBdr>
        <w:top w:val="none" w:sz="0" w:space="0" w:color="auto"/>
        <w:left w:val="none" w:sz="0" w:space="0" w:color="auto"/>
        <w:bottom w:val="none" w:sz="0" w:space="0" w:color="auto"/>
        <w:right w:val="none" w:sz="0" w:space="0" w:color="auto"/>
      </w:divBdr>
    </w:div>
    <w:div w:id="814835865">
      <w:bodyDiv w:val="1"/>
      <w:marLeft w:val="0"/>
      <w:marRight w:val="0"/>
      <w:marTop w:val="0"/>
      <w:marBottom w:val="0"/>
      <w:divBdr>
        <w:top w:val="none" w:sz="0" w:space="0" w:color="auto"/>
        <w:left w:val="none" w:sz="0" w:space="0" w:color="auto"/>
        <w:bottom w:val="none" w:sz="0" w:space="0" w:color="auto"/>
        <w:right w:val="none" w:sz="0" w:space="0" w:color="auto"/>
      </w:divBdr>
    </w:div>
    <w:div w:id="963845624">
      <w:bodyDiv w:val="1"/>
      <w:marLeft w:val="0"/>
      <w:marRight w:val="0"/>
      <w:marTop w:val="0"/>
      <w:marBottom w:val="0"/>
      <w:divBdr>
        <w:top w:val="none" w:sz="0" w:space="0" w:color="auto"/>
        <w:left w:val="none" w:sz="0" w:space="0" w:color="auto"/>
        <w:bottom w:val="none" w:sz="0" w:space="0" w:color="auto"/>
        <w:right w:val="none" w:sz="0" w:space="0" w:color="auto"/>
      </w:divBdr>
    </w:div>
    <w:div w:id="1022824982">
      <w:bodyDiv w:val="1"/>
      <w:marLeft w:val="0"/>
      <w:marRight w:val="0"/>
      <w:marTop w:val="0"/>
      <w:marBottom w:val="0"/>
      <w:divBdr>
        <w:top w:val="none" w:sz="0" w:space="0" w:color="auto"/>
        <w:left w:val="none" w:sz="0" w:space="0" w:color="auto"/>
        <w:bottom w:val="none" w:sz="0" w:space="0" w:color="auto"/>
        <w:right w:val="none" w:sz="0" w:space="0" w:color="auto"/>
      </w:divBdr>
    </w:div>
    <w:div w:id="1076786432">
      <w:bodyDiv w:val="1"/>
      <w:marLeft w:val="0"/>
      <w:marRight w:val="0"/>
      <w:marTop w:val="0"/>
      <w:marBottom w:val="0"/>
      <w:divBdr>
        <w:top w:val="none" w:sz="0" w:space="0" w:color="auto"/>
        <w:left w:val="none" w:sz="0" w:space="0" w:color="auto"/>
        <w:bottom w:val="none" w:sz="0" w:space="0" w:color="auto"/>
        <w:right w:val="none" w:sz="0" w:space="0" w:color="auto"/>
      </w:divBdr>
    </w:div>
    <w:div w:id="1563831276">
      <w:bodyDiv w:val="1"/>
      <w:marLeft w:val="0"/>
      <w:marRight w:val="0"/>
      <w:marTop w:val="0"/>
      <w:marBottom w:val="0"/>
      <w:divBdr>
        <w:top w:val="none" w:sz="0" w:space="0" w:color="auto"/>
        <w:left w:val="none" w:sz="0" w:space="0" w:color="auto"/>
        <w:bottom w:val="none" w:sz="0" w:space="0" w:color="auto"/>
        <w:right w:val="none" w:sz="0" w:space="0" w:color="auto"/>
      </w:divBdr>
    </w:div>
    <w:div w:id="1784496532">
      <w:bodyDiv w:val="1"/>
      <w:marLeft w:val="0"/>
      <w:marRight w:val="0"/>
      <w:marTop w:val="0"/>
      <w:marBottom w:val="0"/>
      <w:divBdr>
        <w:top w:val="none" w:sz="0" w:space="0" w:color="auto"/>
        <w:left w:val="none" w:sz="0" w:space="0" w:color="auto"/>
        <w:bottom w:val="none" w:sz="0" w:space="0" w:color="auto"/>
        <w:right w:val="none" w:sz="0" w:space="0" w:color="auto"/>
      </w:divBdr>
    </w:div>
    <w:div w:id="1872499126">
      <w:bodyDiv w:val="1"/>
      <w:marLeft w:val="0"/>
      <w:marRight w:val="0"/>
      <w:marTop w:val="0"/>
      <w:marBottom w:val="0"/>
      <w:divBdr>
        <w:top w:val="none" w:sz="0" w:space="0" w:color="auto"/>
        <w:left w:val="none" w:sz="0" w:space="0" w:color="auto"/>
        <w:bottom w:val="none" w:sz="0" w:space="0" w:color="auto"/>
        <w:right w:val="none" w:sz="0" w:space="0" w:color="auto"/>
      </w:divBdr>
    </w:div>
    <w:div w:id="1928465031">
      <w:bodyDiv w:val="1"/>
      <w:marLeft w:val="0"/>
      <w:marRight w:val="0"/>
      <w:marTop w:val="0"/>
      <w:marBottom w:val="0"/>
      <w:divBdr>
        <w:top w:val="none" w:sz="0" w:space="0" w:color="auto"/>
        <w:left w:val="none" w:sz="0" w:space="0" w:color="auto"/>
        <w:bottom w:val="none" w:sz="0" w:space="0" w:color="auto"/>
        <w:right w:val="none" w:sz="0" w:space="0" w:color="auto"/>
      </w:divBdr>
    </w:div>
    <w:div w:id="1955794010">
      <w:bodyDiv w:val="1"/>
      <w:marLeft w:val="0"/>
      <w:marRight w:val="0"/>
      <w:marTop w:val="0"/>
      <w:marBottom w:val="0"/>
      <w:divBdr>
        <w:top w:val="none" w:sz="0" w:space="0" w:color="auto"/>
        <w:left w:val="none" w:sz="0" w:space="0" w:color="auto"/>
        <w:bottom w:val="none" w:sz="0" w:space="0" w:color="auto"/>
        <w:right w:val="none" w:sz="0" w:space="0" w:color="auto"/>
      </w:divBdr>
    </w:div>
    <w:div w:id="2050494522">
      <w:bodyDiv w:val="1"/>
      <w:marLeft w:val="0"/>
      <w:marRight w:val="0"/>
      <w:marTop w:val="0"/>
      <w:marBottom w:val="0"/>
      <w:divBdr>
        <w:top w:val="none" w:sz="0" w:space="0" w:color="auto"/>
        <w:left w:val="none" w:sz="0" w:space="0" w:color="auto"/>
        <w:bottom w:val="none" w:sz="0" w:space="0" w:color="auto"/>
        <w:right w:val="none" w:sz="0" w:space="0" w:color="auto"/>
      </w:divBdr>
    </w:div>
    <w:div w:id="2108765193">
      <w:bodyDiv w:val="1"/>
      <w:marLeft w:val="0"/>
      <w:marRight w:val="0"/>
      <w:marTop w:val="0"/>
      <w:marBottom w:val="0"/>
      <w:divBdr>
        <w:top w:val="none" w:sz="0" w:space="0" w:color="auto"/>
        <w:left w:val="none" w:sz="0" w:space="0" w:color="auto"/>
        <w:bottom w:val="none" w:sz="0" w:space="0" w:color="auto"/>
        <w:right w:val="none" w:sz="0" w:space="0" w:color="auto"/>
      </w:divBdr>
    </w:div>
    <w:div w:id="2127576047">
      <w:bodyDiv w:val="1"/>
      <w:marLeft w:val="0"/>
      <w:marRight w:val="0"/>
      <w:marTop w:val="0"/>
      <w:marBottom w:val="0"/>
      <w:divBdr>
        <w:top w:val="none" w:sz="0" w:space="0" w:color="auto"/>
        <w:left w:val="none" w:sz="0" w:space="0" w:color="auto"/>
        <w:bottom w:val="none" w:sz="0" w:space="0" w:color="auto"/>
        <w:right w:val="none" w:sz="0" w:space="0" w:color="auto"/>
      </w:divBdr>
    </w:div>
    <w:div w:id="21431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Meh</b:Tag>
    <b:SourceType>JournalArticle</b:SourceType>
    <b:Guid>{38849F44-1AEE-4BC7-B6BF-563C978675DD}</b:Guid>
    <b:Title>Partnership and Preparation: A new model of transition from college to university</b:Title>
    <b:Author>
      <b:Author>
        <b:NameList>
          <b:Person>
            <b:Last>Meharg</b:Last>
            <b:First>D</b:First>
          </b:Person>
          <b:Person>
            <b:Last>Fotheringham</b:Last>
            <b:First>J</b:First>
          </b:Person>
        </b:NameList>
      </b:Author>
    </b:Author>
    <b:Year>2013</b:Year>
    <b:RefOrder>4</b:RefOrder>
  </b:Source>
  <b:Source>
    <b:Tag>Sco13</b:Tag>
    <b:SourceType>Report</b:SourceType>
    <b:Guid>{756A979D-164A-40C3-8CF9-2418CC91B36C}</b:Guid>
    <b:Author>
      <b:Author>
        <b:Corporate>Scottish Funding Council</b:Corporate>
      </b:Author>
    </b:Author>
    <b:Title>Additional articulation places for partnership between colleges and universities</b:Title>
    <b:Year>2013</b:Year>
    <b:City>Edinburgh</b:City>
    <b:RefOrder>1</b:RefOrder>
  </b:Source>
  <b:Source>
    <b:Tag>Chr11</b:Tag>
    <b:SourceType>JournalArticle</b:SourceType>
    <b:Guid>{C1444E31-6F72-40BE-880A-3617A432FE22}</b:Guid>
    <b:Author>
      <b:Author>
        <b:NameList>
          <b:Person>
            <b:Last>Christe</b:Last>
            <b:First>H</b:First>
          </b:Person>
          <b:Person>
            <b:Last>Barron</b:Last>
            <b:First>P</b:First>
          </b:Person>
          <b:Person>
            <b:Last>D'Annunzio-Green</b:Last>
            <b:First>N.</b:First>
          </b:Person>
        </b:NameList>
      </b:Author>
    </b:Author>
    <b:Title>Direct Entrants in Transition: becoming independent learners</b:Title>
    <b:JournalName>Studies in Higher Education</b:JournalName>
    <b:Year>2011</b:Year>
    <b:Pages>623-637</b:Pages>
    <b:Publisher>Routledge</b:Publisher>
    <b:Volume>38</b:Volume>
    <b:Issue>4</b:Issue>
    <b:RefOrder>5</b:RefOrder>
  </b:Source>
  <b:Source>
    <b:Tag>Hig13</b:Tag>
    <b:SourceType>Report</b:SourceType>
    <b:Guid>{EAB95A2B-37BC-41E0-90AA-510192ADFC94}</b:Guid>
    <b:Title>Learning Journeys for All</b:Title>
    <b:Year>2013</b:Year>
    <b:Author>
      <b:Author>
        <b:Corporate>Higher Education Academy, National Union of Students</b:Corporate>
      </b:Author>
    </b:Author>
    <b:Publisher>Higher Education Academy</b:Publisher>
    <b:City>Edinburgh</b:City>
    <b:RefOrder>2</b:RefOrder>
  </b:Source>
  <b:Source>
    <b:Tag>Ing13</b:Tag>
    <b:SourceType>Report</b:SourceType>
    <b:Guid>{534723D9-48AD-4FE6-8A57-A760FE4C83BF}</b:Guid>
    <b:Author>
      <b:Author>
        <b:NameList>
          <b:Person>
            <b:Last>Ingram</b:Last>
            <b:First>R</b:First>
          </b:Person>
          <b:Person>
            <b:Last>Gallacher</b:Last>
            <b:First>J</b:First>
          </b:Person>
        </b:NameList>
      </b:Author>
    </b:Author>
    <b:Title>Making the Transition from College to University</b:Title>
    <b:Year>2013</b:Year>
    <b:Publisher>Glasgow Caledonian University</b:Publisher>
    <b:City>Glasgow</b:City>
    <b:RefOrder>3</b:RefOrder>
  </b:Source>
  <b:Source>
    <b:Tag>Sco14</b:Tag>
    <b:SourceType>InternetSite</b:SourceType>
    <b:Guid>{493A2D48-96DD-42F7-B1CC-D4F181FC30BD}</b:Guid>
    <b:Title>Scottish Credit and Qualifications Framework/ The Framework</b:Title>
    <b:Year>2014</b:Year>
    <b:Author>
      <b:Author>
        <b:Corporate>Scottish Credit and Qualifications Framework Partnership </b:Corporate>
      </b:Author>
    </b:Author>
    <b:InternetSiteTitle>Scottish Credit and Qualifications Framework Website</b:InternetSiteTitle>
    <b:URL>http://scqf.org.uk/</b:URL>
    <b:RefOrder>6</b:RefOrder>
  </b:Source>
</b:Sources>
</file>

<file path=customXml/itemProps1.xml><?xml version="1.0" encoding="utf-8"?>
<ds:datastoreItem xmlns:ds="http://schemas.openxmlformats.org/officeDocument/2006/customXml" ds:itemID="{B67C6BBC-448E-47EA-A3C6-7A0722A2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Tizard, Jenny</dc:creator>
  <cp:keywords/>
  <dc:description/>
  <cp:lastModifiedBy>Gibson, Lyn</cp:lastModifiedBy>
  <cp:revision>2</cp:revision>
  <cp:lastPrinted>2014-11-10T15:51:00Z</cp:lastPrinted>
  <dcterms:created xsi:type="dcterms:W3CDTF">2015-09-08T10:05:00Z</dcterms:created>
  <dcterms:modified xsi:type="dcterms:W3CDTF">2015-09-08T10:05:00Z</dcterms:modified>
</cp:coreProperties>
</file>