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EC" w:rsidRDefault="00CF42EC">
      <w:bookmarkStart w:id="0" w:name="_GoBack"/>
      <w:bookmarkEnd w:id="0"/>
      <w:r w:rsidRPr="00CF42EC">
        <w:rPr>
          <w:b/>
        </w:rPr>
        <w:t>Corresponding Author</w:t>
      </w:r>
      <w:r>
        <w:t xml:space="preserve">: Anne Tierney, Department of Learning and Teaching, Edinburgh Napier University, Room </w:t>
      </w:r>
      <w:r w:rsidR="005F77B5">
        <w:t>7.B.37</w:t>
      </w:r>
      <w:r>
        <w:t xml:space="preserve">, </w:t>
      </w:r>
      <w:proofErr w:type="spellStart"/>
      <w:r>
        <w:t>Sighthill</w:t>
      </w:r>
      <w:proofErr w:type="spellEnd"/>
      <w:r>
        <w:t xml:space="preserve"> Court, Edinburgh, EH11 4BN. a.tierney@napier.ac.uk</w:t>
      </w:r>
    </w:p>
    <w:p w:rsidR="00CF42EC" w:rsidRDefault="00CF42EC">
      <w:r w:rsidRPr="00CF42EC">
        <w:rPr>
          <w:b/>
        </w:rPr>
        <w:t>Title</w:t>
      </w:r>
      <w:r>
        <w:t xml:space="preserve">: </w:t>
      </w:r>
      <w:r w:rsidRPr="00E306B4">
        <w:rPr>
          <w:b/>
        </w:rPr>
        <w:t xml:space="preserve">Communities of </w:t>
      </w:r>
      <w:r w:rsidR="002940F6">
        <w:rPr>
          <w:b/>
        </w:rPr>
        <w:t>p</w:t>
      </w:r>
      <w:r w:rsidRPr="00E306B4">
        <w:rPr>
          <w:b/>
        </w:rPr>
        <w:t xml:space="preserve">ractice in </w:t>
      </w:r>
      <w:r w:rsidR="002940F6">
        <w:rPr>
          <w:b/>
        </w:rPr>
        <w:t>l</w:t>
      </w:r>
      <w:r w:rsidRPr="00E306B4">
        <w:rPr>
          <w:b/>
        </w:rPr>
        <w:t xml:space="preserve">ife </w:t>
      </w:r>
      <w:r w:rsidR="002940F6">
        <w:rPr>
          <w:b/>
        </w:rPr>
        <w:t>s</w:t>
      </w:r>
      <w:r w:rsidRPr="00E306B4">
        <w:rPr>
          <w:b/>
        </w:rPr>
        <w:t xml:space="preserve">ciences and the </w:t>
      </w:r>
      <w:r w:rsidR="002940F6">
        <w:rPr>
          <w:b/>
        </w:rPr>
        <w:t>n</w:t>
      </w:r>
      <w:r w:rsidRPr="00E306B4">
        <w:rPr>
          <w:b/>
        </w:rPr>
        <w:t xml:space="preserve">eed for </w:t>
      </w:r>
      <w:r w:rsidR="002940F6">
        <w:rPr>
          <w:b/>
        </w:rPr>
        <w:t>b</w:t>
      </w:r>
      <w:r w:rsidRPr="00E306B4">
        <w:rPr>
          <w:b/>
        </w:rPr>
        <w:t xml:space="preserve">rokering </w:t>
      </w:r>
    </w:p>
    <w:p w:rsidR="004B7F2B" w:rsidRDefault="00CF42EC">
      <w:r>
        <w:rPr>
          <w:b/>
        </w:rPr>
        <w:t>Abstract</w:t>
      </w:r>
      <w:r>
        <w:t>:</w:t>
      </w:r>
      <w:r w:rsidR="000549F1">
        <w:t xml:space="preserve"> Etienne Wenger’s work on </w:t>
      </w:r>
      <w:r w:rsidR="002940F6">
        <w:t>c</w:t>
      </w:r>
      <w:r w:rsidR="000549F1">
        <w:t xml:space="preserve">ommunities of </w:t>
      </w:r>
      <w:r w:rsidR="002940F6">
        <w:t>p</w:t>
      </w:r>
      <w:r w:rsidR="000549F1">
        <w:t xml:space="preserve">ractice is influential in teaching and learning in </w:t>
      </w:r>
      <w:r w:rsidR="002940F6">
        <w:t>h</w:t>
      </w:r>
      <w:r w:rsidR="000549F1">
        <w:t xml:space="preserve">igher </w:t>
      </w:r>
      <w:r w:rsidR="002940F6">
        <w:t>e</w:t>
      </w:r>
      <w:r w:rsidR="000549F1">
        <w:t xml:space="preserve">ducation. A core work of many postgraduate certificate in teaching and learning (PGCert) courses for new lecturers, it is studied, in the main, as a means to understand how to support and encourage students to achieve more effective learning. Communities of </w:t>
      </w:r>
      <w:r w:rsidR="002940F6">
        <w:t>p</w:t>
      </w:r>
      <w:r w:rsidR="000549F1">
        <w:t xml:space="preserve">ractice can also be applied to academics. In the context of the Research Excellence Framework (REF) and its predecessors, the gulf between </w:t>
      </w:r>
      <w:r w:rsidR="002940F6">
        <w:t>r</w:t>
      </w:r>
      <w:r w:rsidR="000549F1">
        <w:t xml:space="preserve">esearch-focused and </w:t>
      </w:r>
      <w:r w:rsidR="002940F6">
        <w:t>t</w:t>
      </w:r>
      <w:r w:rsidR="000549F1">
        <w:t>eaching-Focused academics</w:t>
      </w:r>
      <w:r w:rsidR="002D2B5E">
        <w:t xml:space="preserve"> in </w:t>
      </w:r>
      <w:r w:rsidR="002940F6">
        <w:t>l</w:t>
      </w:r>
      <w:r w:rsidR="002D2B5E">
        <w:t xml:space="preserve">ife </w:t>
      </w:r>
      <w:r w:rsidR="002940F6">
        <w:t>s</w:t>
      </w:r>
      <w:r w:rsidR="002D2B5E">
        <w:t>ciences</w:t>
      </w:r>
      <w:r w:rsidR="000549F1">
        <w:t xml:space="preserve"> has widened, so that in many institutions, </w:t>
      </w:r>
      <w:r w:rsidR="00D549F2">
        <w:t xml:space="preserve">these two groups have evolved into two distinct </w:t>
      </w:r>
      <w:r w:rsidR="002940F6">
        <w:t>c</w:t>
      </w:r>
      <w:r w:rsidR="00D549F2">
        <w:t xml:space="preserve">ommunities of </w:t>
      </w:r>
      <w:r w:rsidR="002940F6">
        <w:t>p</w:t>
      </w:r>
      <w:r w:rsidR="00D549F2">
        <w:t xml:space="preserve">ractice; one whose priority is disciplinary research, the other’s learning and teaching. However, in 2015, the UK government announced that a Teaching Excellence Framework (TEF) would be introduced into </w:t>
      </w:r>
      <w:r w:rsidR="002940F6">
        <w:t>h</w:t>
      </w:r>
      <w:r w:rsidR="00D549F2">
        <w:t xml:space="preserve">igher </w:t>
      </w:r>
      <w:r w:rsidR="002940F6">
        <w:t>e</w:t>
      </w:r>
      <w:r w:rsidR="00D549F2">
        <w:t xml:space="preserve">ducation in England, as early as 2017. While the exact details of TEF remain unclear, it is certain that “excellence” and “student satisfaction” will be high on the agenda. It is vital, therefore, that the two </w:t>
      </w:r>
      <w:r w:rsidR="002940F6">
        <w:t>c</w:t>
      </w:r>
      <w:r w:rsidR="00D549F2">
        <w:t xml:space="preserve">ommunities of </w:t>
      </w:r>
      <w:r w:rsidR="002940F6">
        <w:t>p</w:t>
      </w:r>
      <w:r w:rsidR="00D549F2">
        <w:t xml:space="preserve">ractice, </w:t>
      </w:r>
      <w:r w:rsidR="002940F6">
        <w:t>r</w:t>
      </w:r>
      <w:r w:rsidR="00D549F2">
        <w:t xml:space="preserve">esearch-focused and </w:t>
      </w:r>
      <w:r w:rsidR="002940F6">
        <w:t>t</w:t>
      </w:r>
      <w:r w:rsidR="00D549F2">
        <w:t xml:space="preserve">eaching-focused, find ways to come together in order to ensure high quality teaching and learning. Wenger proposes that this can be done through the process of “brokering”, which allows expertise from both </w:t>
      </w:r>
      <w:r w:rsidR="002940F6">
        <w:t>c</w:t>
      </w:r>
      <w:r w:rsidR="00D549F2">
        <w:t xml:space="preserve">ommunities of </w:t>
      </w:r>
      <w:r w:rsidR="002940F6">
        <w:t>p</w:t>
      </w:r>
      <w:r w:rsidR="00D549F2">
        <w:t>ractice to cross from one to the other, strengthening both.</w:t>
      </w:r>
      <w:r w:rsidR="00EE766E">
        <w:t xml:space="preserve"> This should be encouraged at departmental and institutional level, but another vital origin of brokering can be forged at </w:t>
      </w:r>
      <w:proofErr w:type="gramStart"/>
      <w:r w:rsidR="00EE766E">
        <w:t>a(</w:t>
      </w:r>
      <w:proofErr w:type="gramEnd"/>
      <w:r w:rsidR="00EE766E">
        <w:t xml:space="preserve">n) (inter)national level at meetings such as the SEB Annual </w:t>
      </w:r>
      <w:r w:rsidR="002940F6">
        <w:t>C</w:t>
      </w:r>
      <w:r w:rsidR="00EE766E">
        <w:t xml:space="preserve">onference, where </w:t>
      </w:r>
      <w:r w:rsidR="002940F6">
        <w:t>t</w:t>
      </w:r>
      <w:r w:rsidR="00EE766E">
        <w:t>eaching-focused academics have the opportunity to mi</w:t>
      </w:r>
      <w:r w:rsidR="002D2B5E">
        <w:t xml:space="preserve">x with </w:t>
      </w:r>
      <w:r w:rsidR="002940F6">
        <w:t>r</w:t>
      </w:r>
      <w:r w:rsidR="002D2B5E">
        <w:t>esearch-active colleagues</w:t>
      </w:r>
      <w:r w:rsidR="00EE766E">
        <w:t>.</w:t>
      </w:r>
      <w:r w:rsidR="00D549F2">
        <w:t xml:space="preserve"> </w:t>
      </w:r>
      <w:r w:rsidR="004B7F2B">
        <w:t>While this paper is informed by recent and current events in the UK Higher Education sector, it is of interest to academics who work in an environment where research and teaching have become separate to any extent.</w:t>
      </w:r>
    </w:p>
    <w:p w:rsidR="00CF42EC" w:rsidRDefault="00CF42EC"/>
    <w:p w:rsidR="00CF42EC" w:rsidRDefault="00CF42EC">
      <w:r>
        <w:rPr>
          <w:b/>
        </w:rPr>
        <w:t>Keywords</w:t>
      </w:r>
      <w:r>
        <w:t>: Community of Practice, brokering, collaboration, teaching and learning, pedagogy</w:t>
      </w:r>
    </w:p>
    <w:p w:rsidR="00CF42EC" w:rsidRDefault="00CF42EC">
      <w:r>
        <w:rPr>
          <w:b/>
        </w:rPr>
        <w:t>Main body</w:t>
      </w:r>
      <w:r w:rsidR="000549F1">
        <w:t>:</w:t>
      </w:r>
    </w:p>
    <w:p w:rsidR="00875C43" w:rsidRDefault="00875C43">
      <w:r w:rsidRPr="00875C43">
        <w:rPr>
          <w:b/>
        </w:rPr>
        <w:t>Introduction</w:t>
      </w:r>
    </w:p>
    <w:p w:rsidR="00875C43" w:rsidRPr="00875C43" w:rsidRDefault="00875C43" w:rsidP="00875C43">
      <w:pPr>
        <w:spacing w:line="480" w:lineRule="auto"/>
      </w:pPr>
      <w:r>
        <w:t xml:space="preserve">This paper is based on my experiences as a </w:t>
      </w:r>
      <w:r w:rsidR="002940F6">
        <w:t>l</w:t>
      </w:r>
      <w:r>
        <w:t xml:space="preserve">ife </w:t>
      </w:r>
      <w:r w:rsidR="002940F6">
        <w:t>s</w:t>
      </w:r>
      <w:r>
        <w:t xml:space="preserve">ciences </w:t>
      </w:r>
      <w:r w:rsidR="002940F6">
        <w:t>t</w:t>
      </w:r>
      <w:r>
        <w:t xml:space="preserve">eaching-focused academic in a research intensive UK university, and my experiences working with organisations such as The Higher Education Academy, Quality Assurance Agency (Scotland) and The Society for Experimental Biology’s SEB+. It is also based on my observations of colleagues, and is related to my current doctoral work, although this paper represents a more general form of themes which have arisen from the study. The opinions contained in the paper are my own, and are influenced by the work of Etienne Wenger and </w:t>
      </w:r>
      <w:proofErr w:type="spellStart"/>
      <w:r>
        <w:t>Torgny</w:t>
      </w:r>
      <w:proofErr w:type="spellEnd"/>
      <w:r>
        <w:t xml:space="preserve"> </w:t>
      </w:r>
      <w:proofErr w:type="spellStart"/>
      <w:r>
        <w:t>Roxå</w:t>
      </w:r>
      <w:proofErr w:type="spellEnd"/>
      <w:r>
        <w:t xml:space="preserve"> and his colleagues. As such, my opinions and interpretations are open to discussion, and I welcome others’ thoughts on this subject.</w:t>
      </w:r>
    </w:p>
    <w:p w:rsidR="00D018B5" w:rsidRPr="00D018B5" w:rsidRDefault="00D018B5">
      <w:pPr>
        <w:rPr>
          <w:b/>
        </w:rPr>
      </w:pPr>
      <w:r w:rsidRPr="00D018B5">
        <w:rPr>
          <w:b/>
        </w:rPr>
        <w:t xml:space="preserve">Communities of </w:t>
      </w:r>
      <w:r w:rsidR="002940F6">
        <w:rPr>
          <w:b/>
        </w:rPr>
        <w:t>p</w:t>
      </w:r>
      <w:r w:rsidRPr="00D018B5">
        <w:rPr>
          <w:b/>
        </w:rPr>
        <w:t>ractice: focus on academics</w:t>
      </w:r>
    </w:p>
    <w:p w:rsidR="00D018B5" w:rsidRDefault="00576F65" w:rsidP="00576F65">
      <w:pPr>
        <w:spacing w:line="480" w:lineRule="auto"/>
      </w:pPr>
      <w:r>
        <w:lastRenderedPageBreak/>
        <w:t xml:space="preserve">Etienne Wenger’s work on </w:t>
      </w:r>
      <w:r w:rsidR="002940F6">
        <w:t>c</w:t>
      </w:r>
      <w:r>
        <w:t xml:space="preserve">ommunities of </w:t>
      </w:r>
      <w:r w:rsidR="002940F6">
        <w:t>p</w:t>
      </w:r>
      <w:r>
        <w:t>ractice</w:t>
      </w:r>
      <w:r w:rsidR="00D018B5">
        <w:t xml:space="preserve"> </w:t>
      </w:r>
      <w:r w:rsidR="00D018B5">
        <w:fldChar w:fldCharType="begin"/>
      </w:r>
      <w:r w:rsidR="00D018B5">
        <w:instrText xml:space="preserve"> ADDIN ZOTERO_ITEM CSL_CITATION {"citationID":"s1in40qtm","properties":{"formattedCitation":"(1998)","plainCitation":"(1998)"},"citationItems":[{"id":40,"uris":["http://zotero.org/users/386570/items/6BAXBENI"],"uri":["http://zotero.org/users/386570/items/6BAXBENI"],"itemData":{"id":40,"type":"book","title":"Communities of Practice: Learning, Meaning and Identity","collection-title":"Learning in doing: social, cognitive and computational perspectives","publisher":"Cambridge University Press","author":[{"family":"Wenger","given":"Etienne"}],"issued":{"date-parts":[["1998"]]}},"suppress-author":true}],"schema":"https://github.com/citation-style-language/schema/raw/master/csl-citation.json"} </w:instrText>
      </w:r>
      <w:r w:rsidR="00D018B5">
        <w:fldChar w:fldCharType="separate"/>
      </w:r>
      <w:r w:rsidR="00D018B5" w:rsidRPr="00D018B5">
        <w:rPr>
          <w:rFonts w:ascii="Calibri" w:hAnsi="Calibri"/>
        </w:rPr>
        <w:t>(1998)</w:t>
      </w:r>
      <w:r w:rsidR="00D018B5">
        <w:fldChar w:fldCharType="end"/>
      </w:r>
      <w:r>
        <w:t xml:space="preserve"> is influential in teaching and learning in </w:t>
      </w:r>
      <w:r w:rsidR="002940F6">
        <w:t>h</w:t>
      </w:r>
      <w:r>
        <w:t xml:space="preserve">igher </w:t>
      </w:r>
      <w:r w:rsidR="002940F6">
        <w:t>e</w:t>
      </w:r>
      <w:r>
        <w:t xml:space="preserve">ducation. </w:t>
      </w:r>
      <w:r w:rsidR="00D018B5">
        <w:t xml:space="preserve">It is used, primarily, to support student learning </w:t>
      </w:r>
      <w:r w:rsidR="002940F6">
        <w:t>c</w:t>
      </w:r>
      <w:r w:rsidR="00D018B5">
        <w:t xml:space="preserve">ommunities of </w:t>
      </w:r>
      <w:r w:rsidR="002940F6">
        <w:t>p</w:t>
      </w:r>
      <w:r w:rsidR="00D018B5">
        <w:t>ractice, promoting the idea that learning is a social endeavour</w:t>
      </w:r>
      <w:r w:rsidR="00237A5D">
        <w:t xml:space="preserve"> </w:t>
      </w:r>
      <w:r w:rsidR="00237A5D">
        <w:fldChar w:fldCharType="begin"/>
      </w:r>
      <w:r w:rsidR="00237A5D">
        <w:instrText xml:space="preserve"> ADDIN ZOTERO_ITEM CSL_CITATION {"citationID":"2fjKYvhD","properties":{"formattedCitation":"{\\rtf (Bandura, 1977; Engestr\\uc0\\u246{}m, 1987; Parsons, 1962; Vygotsky, 1934)}","plainCitation":"(Bandura, 1977; Engeström, 1987; Parsons, 1962; Vygotsky, 1934)"},"citationItems":[{"id":574,"uris":["http://zotero.org/users/386570/items/ZEEVRS8N"],"uri":["http://zotero.org/users/386570/items/ZEEVRS8N"],"itemData":{"id":574,"type":"book","title":"Social learning theory","publisher":"Prentice-Hall","publisher-place":"Eaglewood Cliffs, NJ.","event-place":"Eaglewood Cliffs, NJ.","author":[{"family":"Bandura","given":"A"}],"issued":{"date-parts":[["1977"]]}},"label":"page"},{"id":505,"uris":["http://zotero.org/users/386570/items/J8HWXTB3"],"uri":["http://zotero.org/users/386570/items/J8HWXTB3"],"itemData":{"id":505,"type":"book","title":"Learning by expanding: An activity-theoretical approach to developmental research.","publisher":"Orienta-Konsultit","publisher-place":"Helsinki","event-place":"Helsinki","author":[{"family":"Engeström","given":"Yrjö"}],"issued":{"date-parts":[["1987"]]}},"label":"page"},{"id":576,"uris":["http://zotero.org/users/386570/items/7UCWSZ2I"],"uri":["http://zotero.org/users/386570/items/7UCWSZ2I"],"itemData":{"id":576,"type":"book","title":"The Structure of Social Action","publisher":"Free Press","publisher-place":"New York","event-place":"New York","author":[{"family":"Parsons","given":"T"}],"issued":{"date-parts":[["1962"]]}},"label":"page"},{"id":575,"uris":["http://zotero.org/users/386570/items/PXZW6228"],"uri":["http://zotero.org/users/386570/items/PXZW6228"],"itemData":{"id":575,"type":"book","title":"Thought and Language","publisher":"MIT Press","publisher-place":"Cambridge, MA.","event-place":"Cambridge, MA.","author":[{"family":"Vygotsky","given":"L. S."}],"issued":{"date-parts":[["1934"]]}},"label":"page"}],"schema":"https://github.com/citation-style-language/schema/raw/master/csl-citation.json"} </w:instrText>
      </w:r>
      <w:r w:rsidR="00237A5D">
        <w:fldChar w:fldCharType="separate"/>
      </w:r>
      <w:r w:rsidR="00237A5D" w:rsidRPr="00237A5D">
        <w:rPr>
          <w:rFonts w:ascii="Calibri" w:hAnsi="Calibri" w:cs="Times New Roman"/>
          <w:szCs w:val="24"/>
        </w:rPr>
        <w:t>(Bandura, 1977; Engeström, 1987; Parsons, 1962; Vygotsky, 1934)</w:t>
      </w:r>
      <w:r w:rsidR="00237A5D">
        <w:fldChar w:fldCharType="end"/>
      </w:r>
      <w:r w:rsidR="00237A5D">
        <w:t xml:space="preserve">. However, </w:t>
      </w:r>
      <w:r w:rsidR="00133B98">
        <w:t>Wenger’s work can also be used to investigate how academics</w:t>
      </w:r>
      <w:r w:rsidR="00237A5D">
        <w:t xml:space="preserve"> form communities of practice</w:t>
      </w:r>
      <w:r w:rsidR="004B7F2B">
        <w:t>, the dimensions of which are defined by (1) mutual engagement; (2) joint enterprise; and (3) a shared repertoire</w:t>
      </w:r>
      <w:r w:rsidR="00D87FBF">
        <w:t xml:space="preserve"> </w:t>
      </w:r>
      <w:r w:rsidR="00D87FBF">
        <w:fldChar w:fldCharType="begin"/>
      </w:r>
      <w:r w:rsidR="00D87FBF">
        <w:instrText xml:space="preserve"> ADDIN ZOTERO_ITEM CSL_CITATION {"citationID":"2cftrmilmk","properties":{"formattedCitation":"(Wenger, 1998, p. 73)","plainCitation":"(Wenger, 1998, p. 73)"},"citationItems":[{"id":40,"uris":["http://zotero.org/users/386570/items/6BAXBENI"],"uri":["http://zotero.org/users/386570/items/6BAXBENI"],"itemData":{"id":40,"type":"book","title":"Communities of Practice: Learning, Meaning and Identity","collection-title":"Learning in doing: social, cognitive and computational perspectives","publisher":"Cambridge University Press","author":[{"family":"Wenger","given":"Etienne"}],"issued":{"date-parts":[["1998"]]}},"locator":"73"}],"schema":"https://github.com/citation-style-language/schema/raw/master/csl-citation.json"} </w:instrText>
      </w:r>
      <w:r w:rsidR="00D87FBF">
        <w:fldChar w:fldCharType="separate"/>
      </w:r>
      <w:r w:rsidR="00D87FBF" w:rsidRPr="00D87FBF">
        <w:rPr>
          <w:rFonts w:ascii="Calibri" w:hAnsi="Calibri"/>
        </w:rPr>
        <w:t>(Wenger, 1998, p. 73)</w:t>
      </w:r>
      <w:r w:rsidR="00D87FBF">
        <w:fldChar w:fldCharType="end"/>
      </w:r>
      <w:r w:rsidR="004B7F2B">
        <w:t>. In the UK, a number of external pressures</w:t>
      </w:r>
      <w:r w:rsidR="00EE766E">
        <w:t xml:space="preserve">, such as the Research Excellence Framework </w:t>
      </w:r>
      <w:r w:rsidR="00EE766E">
        <w:fldChar w:fldCharType="begin"/>
      </w:r>
      <w:r w:rsidR="00EE766E">
        <w:instrText xml:space="preserve"> ADDIN ZOTERO_ITEM CSL_CITATION {"citationID":"1goljbh6d1","properties":{"formattedCitation":"(Higher Education Funding Council for England, n.d.)","plainCitation":"(Higher Education Funding Council for England, n.d.)"},"citationItems":[{"id":78,"uris":["http://zotero.org/users/386570/items/A27SBEWI"],"uri":["http://zotero.org/users/386570/items/A27SBEWI"],"itemData":{"id":78,"type":"webpage","title":"The Research Excellence Framework","URL":"http://www.ref.ac.uk","author":[{"family":"Higher Education Funding Council for England","given":""}],"accessed":{"date-parts":[["2013",10,5]]}}}],"schema":"https://github.com/citation-style-language/schema/raw/master/csl-citation.json"} </w:instrText>
      </w:r>
      <w:r w:rsidR="00EE766E">
        <w:fldChar w:fldCharType="separate"/>
      </w:r>
      <w:r w:rsidR="00EE766E" w:rsidRPr="00EE766E">
        <w:rPr>
          <w:rFonts w:ascii="Calibri" w:hAnsi="Calibri"/>
        </w:rPr>
        <w:t>(Higher Education Funding Council for England)</w:t>
      </w:r>
      <w:r w:rsidR="00EE766E">
        <w:fldChar w:fldCharType="end"/>
      </w:r>
      <w:r w:rsidR="00EE766E">
        <w:t xml:space="preserve"> and National Student Survey </w:t>
      </w:r>
      <w:r w:rsidR="004B7F2B">
        <w:t xml:space="preserve"> has increasingly meant the separation of </w:t>
      </w:r>
      <w:r w:rsidR="002940F6">
        <w:t>r</w:t>
      </w:r>
      <w:r w:rsidR="004B7F2B">
        <w:t xml:space="preserve">esearch-focused and </w:t>
      </w:r>
      <w:r w:rsidR="002940F6">
        <w:t>t</w:t>
      </w:r>
      <w:r w:rsidR="004B7F2B">
        <w:t xml:space="preserve">eaching-focused activities, resulting in the emergence of two distinct </w:t>
      </w:r>
      <w:r w:rsidR="002940F6">
        <w:t>c</w:t>
      </w:r>
      <w:r w:rsidR="004B7F2B">
        <w:t xml:space="preserve">ommunities of </w:t>
      </w:r>
      <w:r w:rsidR="002940F6">
        <w:t>p</w:t>
      </w:r>
      <w:r w:rsidR="004B7F2B">
        <w:t>ractice; one whose enterprise priority is disciplinary research, the other, teaching and learning.</w:t>
      </w:r>
      <w:r w:rsidR="00D87FBF">
        <w:t xml:space="preserve"> The separation of joint ent</w:t>
      </w:r>
      <w:r w:rsidR="00B864E5">
        <w:t xml:space="preserve">erprise </w:t>
      </w:r>
      <w:r w:rsidR="003568DC">
        <w:t>coincides with</w:t>
      </w:r>
      <w:r w:rsidR="00D87FBF">
        <w:t xml:space="preserve"> differences in engagement</w:t>
      </w:r>
      <w:r w:rsidR="00B864E5">
        <w:t xml:space="preserve"> and repertoire</w:t>
      </w:r>
      <w:r w:rsidR="00D87FBF">
        <w:t xml:space="preserve">. </w:t>
      </w:r>
      <w:r w:rsidR="00B864E5">
        <w:t>Differences in engagement</w:t>
      </w:r>
      <w:r w:rsidR="00D87FBF">
        <w:t xml:space="preserve"> </w:t>
      </w:r>
      <w:r w:rsidR="00B864E5">
        <w:t>manifest</w:t>
      </w:r>
      <w:r w:rsidR="00D87FBF">
        <w:t xml:space="preserve"> as a withdrawal of </w:t>
      </w:r>
      <w:r w:rsidR="00CF090B">
        <w:t>r</w:t>
      </w:r>
      <w:r w:rsidR="00D87FBF">
        <w:t xml:space="preserve">esearch-focused academics from teaching, while </w:t>
      </w:r>
      <w:r w:rsidR="00CF090B">
        <w:t>t</w:t>
      </w:r>
      <w:r w:rsidR="00D87FBF">
        <w:t>eaching-focused academics reduce their involvement in, or are not required to engage in disciplinary research</w:t>
      </w:r>
      <w:r w:rsidR="00B864E5">
        <w:t>. Differences in repertoire can be seen</w:t>
      </w:r>
      <w:r w:rsidR="00D87FBF">
        <w:t xml:space="preserve"> as </w:t>
      </w:r>
      <w:r w:rsidR="00CF090B">
        <w:t>t</w:t>
      </w:r>
      <w:r w:rsidR="00D87FBF">
        <w:t xml:space="preserve">eaching-focused academics </w:t>
      </w:r>
      <w:r w:rsidR="004E3B4E">
        <w:t xml:space="preserve">develop their expertise in the Scholarship of Teaching and Learning (SoTL), while </w:t>
      </w:r>
      <w:r w:rsidR="00CF090B">
        <w:t>r</w:t>
      </w:r>
      <w:r w:rsidR="004E3B4E">
        <w:t>e</w:t>
      </w:r>
      <w:r w:rsidR="00133B98">
        <w:t>s</w:t>
      </w:r>
      <w:r w:rsidR="004E3B4E">
        <w:t xml:space="preserve">earch-focused academics develop their </w:t>
      </w:r>
      <w:r w:rsidR="00EE766E">
        <w:t>disciplinary expertise.</w:t>
      </w:r>
      <w:r w:rsidR="00133B98">
        <w:t xml:space="preserve"> Thus, the two groups diverge, forming two distinct </w:t>
      </w:r>
      <w:r w:rsidR="00CF090B">
        <w:t>c</w:t>
      </w:r>
      <w:r w:rsidR="00133B98">
        <w:t>ommun</w:t>
      </w:r>
      <w:r w:rsidR="00B864E5">
        <w:t>i</w:t>
      </w:r>
      <w:r w:rsidR="00133B98">
        <w:t xml:space="preserve">ties of </w:t>
      </w:r>
      <w:r w:rsidR="00CF090B">
        <w:t>p</w:t>
      </w:r>
      <w:r w:rsidR="00133B98">
        <w:t>ractice.</w:t>
      </w:r>
      <w:r w:rsidR="002D2B5E">
        <w:t xml:space="preserve"> </w:t>
      </w:r>
    </w:p>
    <w:p w:rsidR="00D018B5" w:rsidRPr="00D018B5" w:rsidRDefault="00D018B5" w:rsidP="00D018B5">
      <w:pPr>
        <w:rPr>
          <w:b/>
        </w:rPr>
      </w:pPr>
      <w:r w:rsidRPr="00D018B5">
        <w:rPr>
          <w:b/>
        </w:rPr>
        <w:t>Research-</w:t>
      </w:r>
      <w:r>
        <w:rPr>
          <w:b/>
        </w:rPr>
        <w:t>focused or</w:t>
      </w:r>
      <w:r w:rsidRPr="00D018B5">
        <w:rPr>
          <w:b/>
        </w:rPr>
        <w:t xml:space="preserve"> </w:t>
      </w:r>
      <w:r w:rsidR="00CF090B">
        <w:rPr>
          <w:b/>
        </w:rPr>
        <w:t>t</w:t>
      </w:r>
      <w:r w:rsidRPr="00D018B5">
        <w:rPr>
          <w:b/>
        </w:rPr>
        <w:t>eaching-</w:t>
      </w:r>
      <w:r w:rsidR="00CF090B">
        <w:rPr>
          <w:b/>
        </w:rPr>
        <w:t>f</w:t>
      </w:r>
      <w:r w:rsidRPr="00D018B5">
        <w:rPr>
          <w:b/>
        </w:rPr>
        <w:t xml:space="preserve">ocused: </w:t>
      </w:r>
      <w:r w:rsidR="00CF090B">
        <w:rPr>
          <w:b/>
        </w:rPr>
        <w:t>es</w:t>
      </w:r>
      <w:r w:rsidRPr="00D018B5">
        <w:rPr>
          <w:b/>
        </w:rPr>
        <w:t xml:space="preserve">tablishment of two </w:t>
      </w:r>
      <w:r w:rsidR="00CF090B">
        <w:rPr>
          <w:b/>
        </w:rPr>
        <w:t>c</w:t>
      </w:r>
      <w:r w:rsidRPr="00D018B5">
        <w:rPr>
          <w:b/>
        </w:rPr>
        <w:t xml:space="preserve">ommunities of </w:t>
      </w:r>
      <w:r w:rsidR="00CF090B">
        <w:rPr>
          <w:b/>
        </w:rPr>
        <w:t>p</w:t>
      </w:r>
      <w:r w:rsidRPr="00D018B5">
        <w:rPr>
          <w:b/>
        </w:rPr>
        <w:t>ractice</w:t>
      </w:r>
    </w:p>
    <w:p w:rsidR="00A402C2" w:rsidRDefault="00576F65" w:rsidP="00576F65">
      <w:pPr>
        <w:spacing w:line="480" w:lineRule="auto"/>
      </w:pPr>
      <w:r>
        <w:t>Academics’ initial introduction to Wenger’s work is generally through the PGCert, which</w:t>
      </w:r>
      <w:r w:rsidR="00A402C2">
        <w:t xml:space="preserve">, post Dearing Report </w:t>
      </w:r>
      <w:r w:rsidR="00A402C2">
        <w:fldChar w:fldCharType="begin"/>
      </w:r>
      <w:r w:rsidR="00A402C2">
        <w:instrText xml:space="preserve"> ADDIN ZOTERO_ITEM CSL_CITATION {"citationID":"1svubuqngs","properties":{"formattedCitation":"(1997)","plainCitation":"(1997)"},"citationItems":[{"id":267,"uris":["http://zotero.org/users/386570/items/WJ2IZZZ2"],"uri":["http://zotero.org/users/386570/items/WJ2IZZZ2"],"itemData":{"id":267,"type":"report","title":"National Committee of Inquiry into Higher Education","URL":"http://bei.leeds.ac.uk/Partners/NCIHE","author":[{"family":"Dearing","given":"Ron"}],"issued":{"date-parts":[["1997"]]}},"suppress-author":true}],"schema":"https://github.com/citation-style-language/schema/raw/master/csl-citation.json"} </w:instrText>
      </w:r>
      <w:r w:rsidR="00A402C2">
        <w:fldChar w:fldCharType="separate"/>
      </w:r>
      <w:r w:rsidR="00A402C2" w:rsidRPr="00A402C2">
        <w:rPr>
          <w:rFonts w:ascii="Calibri" w:hAnsi="Calibri"/>
        </w:rPr>
        <w:t>(1997)</w:t>
      </w:r>
      <w:r w:rsidR="00A402C2">
        <w:fldChar w:fldCharType="end"/>
      </w:r>
      <w:r>
        <w:t xml:space="preserve"> most institutions now require probationers to complete</w:t>
      </w:r>
      <w:r w:rsidR="00A402C2">
        <w:t xml:space="preserve">, although the absolute requirements for completion vary a great deal </w:t>
      </w:r>
      <w:r w:rsidR="00A402C2">
        <w:fldChar w:fldCharType="begin"/>
      </w:r>
      <w:r w:rsidR="00A402C2">
        <w:instrText xml:space="preserve"> ADDIN ZOTERO_ITEM CSL_CITATION {"citationID":"20hifvaibm","properties":{"formattedCitation":"(Gosling, 2010)","plainCitation":"(Gosling, 2010)"},"citationItems":[{"id":572,"uris":["http://zotero.org/users/386570/items/NPW9X67I"],"uri":["http://zotero.org/users/386570/items/NPW9X67I"],"itemData":{"id":572,"type":"personal_communication","title":"Is your Pg Cert compulsory for new staff? A summary of responses from the SEDA JISCMail list","URL":"https://www.jiscmail.ac.uk/cgi-bin/webadmin?A1=ind1001&amp;L=SEDA#23","author":[{"family":"Gosling","given":"D"}],"issued":{"date-parts":[["2010"]]},"accessed":{"date-parts":[["2015",12,29]]}}}],"schema":"https://github.com/citation-style-language/schema/raw/master/csl-citation.json"} </w:instrText>
      </w:r>
      <w:r w:rsidR="00A402C2">
        <w:fldChar w:fldCharType="separate"/>
      </w:r>
      <w:r w:rsidR="00A402C2" w:rsidRPr="00A402C2">
        <w:rPr>
          <w:rFonts w:ascii="Calibri" w:hAnsi="Calibri"/>
        </w:rPr>
        <w:t>(Gosling, 2010)</w:t>
      </w:r>
      <w:r w:rsidR="00A402C2">
        <w:fldChar w:fldCharType="end"/>
      </w:r>
      <w:r w:rsidR="00A402C2">
        <w:t>.</w:t>
      </w:r>
      <w:r w:rsidR="00B864E5">
        <w:t xml:space="preserve"> At this point, individuals, although set on course to become members of either the </w:t>
      </w:r>
      <w:r w:rsidR="00CF090B">
        <w:t>r</w:t>
      </w:r>
      <w:r w:rsidR="00B864E5">
        <w:t xml:space="preserve">esearch-focused or </w:t>
      </w:r>
      <w:r w:rsidR="00CF090B">
        <w:t>t</w:t>
      </w:r>
      <w:r w:rsidR="00B864E5">
        <w:t xml:space="preserve">eaching-focused </w:t>
      </w:r>
      <w:r w:rsidR="00CF090B">
        <w:t>c</w:t>
      </w:r>
      <w:r w:rsidR="00B864E5">
        <w:t xml:space="preserve">ommunity of </w:t>
      </w:r>
      <w:r w:rsidR="00CF090B">
        <w:t>p</w:t>
      </w:r>
      <w:r w:rsidR="00B864E5">
        <w:t>ractice, are required to go through academic probation, which includes an introductory qualification in teaching and learning (PGCert).</w:t>
      </w:r>
      <w:r w:rsidR="00A402C2">
        <w:t xml:space="preserve"> Completion of the PGCert, under its many guises, marks a departure point for academics; for many, it marks the end of a compulsory period of enquiry into pedagogy, and once the PGCert has been obtained, the business of </w:t>
      </w:r>
      <w:r w:rsidR="00A402C2">
        <w:lastRenderedPageBreak/>
        <w:t xml:space="preserve">establishing one’s disciplinary research reputation takes priority. For others, it marks the beginning of development of expertise in pedagogy, and the following of a </w:t>
      </w:r>
      <w:r w:rsidR="00CF090B">
        <w:t>t</w:t>
      </w:r>
      <w:r w:rsidR="00A402C2">
        <w:t xml:space="preserve">eaching and </w:t>
      </w:r>
      <w:r w:rsidR="00CF090B">
        <w:t>s</w:t>
      </w:r>
      <w:r w:rsidR="00A402C2">
        <w:t xml:space="preserve">cholarship career path. Thus, the two </w:t>
      </w:r>
      <w:r w:rsidR="00CF090B">
        <w:t>c</w:t>
      </w:r>
      <w:r w:rsidR="00A402C2">
        <w:t xml:space="preserve">ommunities of </w:t>
      </w:r>
      <w:r w:rsidR="00CF090B">
        <w:t>p</w:t>
      </w:r>
      <w:r w:rsidR="00A402C2">
        <w:t xml:space="preserve">ractice diverge at this point. The divergence is aided by the pressures of </w:t>
      </w:r>
      <w:r w:rsidR="00C3174B">
        <w:t xml:space="preserve">the </w:t>
      </w:r>
      <w:r w:rsidR="00A402C2">
        <w:t>REF, which place</w:t>
      </w:r>
      <w:r w:rsidR="00C3174B">
        <w:t>s</w:t>
      </w:r>
      <w:r w:rsidR="00A402C2">
        <w:t xml:space="preserve"> emphasis on the production of world class disciplinary research </w:t>
      </w:r>
      <w:r w:rsidR="00A402C2">
        <w:fldChar w:fldCharType="begin"/>
      </w:r>
      <w:r w:rsidR="00A402C2">
        <w:instrText xml:space="preserve"> ADDIN ZOTERO_ITEM CSL_CITATION {"citationID":"2k1vnean9b","properties":{"formattedCitation":"(Higher Education Funding Council for England, n.d.)","plainCitation":"(Higher Education Funding Council for England, n.d.)"},"citationItems":[{"id":78,"uris":["http://zotero.org/users/386570/items/A27SBEWI"],"uri":["http://zotero.org/users/386570/items/A27SBEWI"],"itemData":{"id":78,"type":"webpage","title":"The Research Excellence Framework","URL":"http://www.ref.ac.uk","author":[{"family":"Higher Education Funding Council for England","given":""}],"accessed":{"date-parts":[["2013",10,5]]}}}],"schema":"https://github.com/citation-style-language/schema/raw/master/csl-citation.json"} </w:instrText>
      </w:r>
      <w:r w:rsidR="00A402C2">
        <w:fldChar w:fldCharType="separate"/>
      </w:r>
      <w:r w:rsidR="00A402C2" w:rsidRPr="00A402C2">
        <w:rPr>
          <w:rFonts w:ascii="Calibri" w:hAnsi="Calibri"/>
        </w:rPr>
        <w:t>(Higher Education Funding Council for England)</w:t>
      </w:r>
      <w:r w:rsidR="00A402C2">
        <w:fldChar w:fldCharType="end"/>
      </w:r>
      <w:r w:rsidR="00A402C2">
        <w:t>, as well as differentiated career routes for staff</w:t>
      </w:r>
      <w:r w:rsidR="0041188D">
        <w:t xml:space="preserve"> (for example, the University of Glasgow has four academic career routes, designated “Research &amp; Teaching”, “Research”, “Teaching &amp; Scholarship” and “Veterinary Clinician”, all of which go as far as Professor </w:t>
      </w:r>
      <w:r w:rsidR="0041188D">
        <w:fldChar w:fldCharType="begin"/>
      </w:r>
      <w:r w:rsidR="0041188D">
        <w:instrText xml:space="preserve"> ADDIN ZOTERO_ITEM CSL_CITATION {"citationID":"2dvt2dc5t3","properties":{"formattedCitation":"{\\rtf (\\uc0\\u8216{}Human Resources, College of MVLS\\uc0\\u8217{}, n.d.)}","plainCitation":"(‘Human Resources, College of MVLS’, n.d.)"},"citationItems":[{"id":168,"uris":["http://zotero.org/users/386570/items/J56RQKVK"],"uri":["http://zotero.org/users/386570/items/J56RQKVK"],"itemData":{"id":168,"type":"webpage","title":"Human Resources, College of MVLS","container-title":"University of Glasgow","URL":"http://www.gla.ac.uk/services/humanresources/all/pay/promotion/acadpromo/#d.en.300506","accessed":{"date-parts":[["2015",12,29]]}}}],"schema":"https://github.com/citation-style-language/schema/raw/master/csl-citation.json"} </w:instrText>
      </w:r>
      <w:r w:rsidR="0041188D">
        <w:fldChar w:fldCharType="separate"/>
      </w:r>
      <w:r w:rsidR="0041188D" w:rsidRPr="0041188D">
        <w:rPr>
          <w:rFonts w:ascii="Calibri" w:hAnsi="Calibri" w:cs="Times New Roman"/>
          <w:szCs w:val="24"/>
        </w:rPr>
        <w:t>(‘Human Resources, College of MVLS’)</w:t>
      </w:r>
      <w:r w:rsidR="0041188D">
        <w:fldChar w:fldCharType="end"/>
      </w:r>
      <w:r w:rsidR="0041188D">
        <w:t>).</w:t>
      </w:r>
    </w:p>
    <w:p w:rsidR="00434982" w:rsidRPr="00434982" w:rsidRDefault="0041188D" w:rsidP="00434982">
      <w:pPr>
        <w:spacing w:line="480" w:lineRule="auto"/>
      </w:pPr>
      <w:r>
        <w:t xml:space="preserve">While the separation of academics into </w:t>
      </w:r>
      <w:r w:rsidR="00C3174B">
        <w:t>r</w:t>
      </w:r>
      <w:r>
        <w:t>esearch-focuse</w:t>
      </w:r>
      <w:r w:rsidR="002D2B5E">
        <w:t xml:space="preserve">d and </w:t>
      </w:r>
      <w:r w:rsidR="00C3174B">
        <w:t>t</w:t>
      </w:r>
      <w:r w:rsidR="002D2B5E">
        <w:t>eaching-focused</w:t>
      </w:r>
      <w:r>
        <w:t xml:space="preserve"> </w:t>
      </w:r>
      <w:r w:rsidR="006A2E7C">
        <w:t xml:space="preserve">has its advantages, for example, allowing </w:t>
      </w:r>
      <w:r w:rsidR="00C3174B">
        <w:t>r</w:t>
      </w:r>
      <w:r w:rsidR="006A2E7C">
        <w:t xml:space="preserve">esearch-focused academics to concentrate on disciplinary research, while </w:t>
      </w:r>
      <w:r w:rsidR="00C3174B">
        <w:t>t</w:t>
      </w:r>
      <w:r w:rsidR="006A2E7C">
        <w:t xml:space="preserve">eaching-focused academics concentrate on teaching and learning, there are also </w:t>
      </w:r>
      <w:r w:rsidR="002D2B5E">
        <w:t xml:space="preserve">disadvantages, </w:t>
      </w:r>
      <w:r w:rsidR="00C3174B">
        <w:t>r</w:t>
      </w:r>
      <w:r w:rsidR="006A2E7C">
        <w:t xml:space="preserve">esearch-focused academics do not develop their expertise in teaching and learning beyond the basics they are introduced to during their probationary period, and, while </w:t>
      </w:r>
      <w:r w:rsidR="00C3174B">
        <w:t>r</w:t>
      </w:r>
      <w:r w:rsidR="006A2E7C">
        <w:t xml:space="preserve">esearch-focused academics are still required to teach, this happens, in the main, in the form of didactic lectures. Teaching-focused academics, on the other hand, </w:t>
      </w:r>
      <w:r w:rsidR="00195810">
        <w:t>are required to develop their expertise in pedagogy, and are more inclined to introduce a variety of student-centred, active learning activities into their teaching, which supports student learning.</w:t>
      </w:r>
      <w:r w:rsidR="00D018B5">
        <w:t xml:space="preserve"> However, this comes at the cost of developing their disciplinary expertise, as they leave active disciplinary research for pedagogy. Therefore there is a danger which impacts on the “student experience” – Research-focused academics whose disciplinary expertise is world class, but whose pedagogic knowledge is basic, and </w:t>
      </w:r>
      <w:r w:rsidR="00C3174B">
        <w:t>t</w:t>
      </w:r>
      <w:r w:rsidR="00D018B5">
        <w:t xml:space="preserve">eaching-focused academics whose pedagogic expertise has been developed, but whose disciplinary expertise is hampered by no longer being research-active. While this has minimal impact on early </w:t>
      </w:r>
      <w:proofErr w:type="gramStart"/>
      <w:r w:rsidR="00D018B5">
        <w:t>years</w:t>
      </w:r>
      <w:proofErr w:type="gramEnd"/>
      <w:r w:rsidR="00D018B5">
        <w:t xml:space="preserve"> undergraduate education, it may impact on later years, in particular with undergraduate research projects, or with Masters level research projects.</w:t>
      </w:r>
      <w:r w:rsidR="00FC7EFD">
        <w:t xml:space="preserve"> T</w:t>
      </w:r>
      <w:r w:rsidR="0062720D">
        <w:t>his situation has perpetuated over a nu</w:t>
      </w:r>
      <w:r w:rsidR="00FC7EFD">
        <w:t>mber of years. However,</w:t>
      </w:r>
      <w:r w:rsidR="0062720D">
        <w:t xml:space="preserve"> there is a new influence coming to th</w:t>
      </w:r>
      <w:r w:rsidR="00FC7EFD">
        <w:t xml:space="preserve">e </w:t>
      </w:r>
      <w:r w:rsidR="00C3174B">
        <w:t>h</w:t>
      </w:r>
      <w:r w:rsidR="00FC7EFD">
        <w:t xml:space="preserve">igher </w:t>
      </w:r>
      <w:r w:rsidR="00C3174B">
        <w:t>e</w:t>
      </w:r>
      <w:r w:rsidR="00FC7EFD">
        <w:t>ducation landscape, of</w:t>
      </w:r>
      <w:r w:rsidR="0062720D">
        <w:t xml:space="preserve"> England in particular, which may affect the two </w:t>
      </w:r>
      <w:r w:rsidR="00C3174B">
        <w:t>c</w:t>
      </w:r>
      <w:r w:rsidR="0062720D">
        <w:t xml:space="preserve">ommunities of </w:t>
      </w:r>
      <w:r w:rsidR="00C3174B">
        <w:t>p</w:t>
      </w:r>
      <w:r w:rsidR="0062720D">
        <w:t>racti</w:t>
      </w:r>
      <w:r w:rsidR="00875C43">
        <w:t xml:space="preserve">ce, and, depending on institutions’ </w:t>
      </w:r>
      <w:r w:rsidR="00875C43">
        <w:lastRenderedPageBreak/>
        <w:t xml:space="preserve">responses to it, has the potential to further divide the </w:t>
      </w:r>
      <w:r w:rsidR="00C3174B">
        <w:t>c</w:t>
      </w:r>
      <w:r w:rsidR="00875C43">
        <w:t xml:space="preserve">ommunities of </w:t>
      </w:r>
      <w:r w:rsidR="00C3174B">
        <w:t>p</w:t>
      </w:r>
      <w:r w:rsidR="00875C43">
        <w:t>ractice, or act as a catalyst to unite them</w:t>
      </w:r>
      <w:r w:rsidR="0062720D">
        <w:t xml:space="preserve">. This new influence is the Teaching Excellence Framework </w:t>
      </w:r>
      <w:r w:rsidR="0062720D">
        <w:fldChar w:fldCharType="begin"/>
      </w:r>
      <w:r w:rsidR="0062720D">
        <w:instrText xml:space="preserve"> ADDIN ZOTERO_ITEM CSL_CITATION {"citationID":"1l9jlddds7","properties":{"formattedCitation":"(Johnson, 2015)","plainCitation":"(Johnson, 2015)"},"citationItems":[{"id":556,"uris":["http://zotero.org/users/386570/items/X52HB4HH"],"uri":["http://zotero.org/users/386570/items/X52HB4HH"],"itemData":{"id":556,"type":"bill","title":"Fulfilling our potential: Teaching Excellence, Social Mobility and Student Choice","container-title":"Cm9141","authority":"Business, Innovation and Skills","URL":"https://www.gov.uk/government/uploads/system/uploads/attachment_data/file/474227/BIS-15-623-fulfilling-our-potential-teaching-excellence-social-mobility-and-student-choice.pdf","chapter-number":"2015","author":[{"family":"Johnson","given":"Jo"}],"issued":{"date-parts":[["2015"]]}},"label":"page"}],"schema":"https://github.com/citation-style-language/schema/raw/master/csl-citation.json"} </w:instrText>
      </w:r>
      <w:r w:rsidR="0062720D">
        <w:fldChar w:fldCharType="separate"/>
      </w:r>
      <w:r w:rsidR="0062720D" w:rsidRPr="0062720D">
        <w:rPr>
          <w:rFonts w:ascii="Calibri" w:hAnsi="Calibri"/>
        </w:rPr>
        <w:t>(Johnson, 2015)</w:t>
      </w:r>
      <w:r w:rsidR="0062720D">
        <w:fldChar w:fldCharType="end"/>
      </w:r>
      <w:r w:rsidR="0062720D">
        <w:t xml:space="preserve"> which is proposed to be imposed on </w:t>
      </w:r>
      <w:r w:rsidR="00C3174B">
        <w:t>h</w:t>
      </w:r>
      <w:r w:rsidR="0062720D">
        <w:t xml:space="preserve">igher </w:t>
      </w:r>
      <w:r w:rsidR="00C3174B">
        <w:t>e</w:t>
      </w:r>
      <w:r w:rsidR="0062720D">
        <w:t>ducation in England as early as 2017</w:t>
      </w:r>
      <w:r w:rsidR="00875C43">
        <w:t>. Despite education being a devolved matter, the influence of TEF is likely to be felt within institutions in all four home nations</w:t>
      </w:r>
      <w:r w:rsidR="0062720D">
        <w:t>. While the details of</w:t>
      </w:r>
      <w:r w:rsidR="00FC7EFD">
        <w:t xml:space="preserve"> the implementation of</w:t>
      </w:r>
      <w:r w:rsidR="0062720D">
        <w:t xml:space="preserve"> TEF remain unknown, the Green Paper sets great store in “excellence” and “student experience”, with one proposal being the introduction of an “Office for Students” </w:t>
      </w:r>
      <w:r w:rsidR="0062720D">
        <w:fldChar w:fldCharType="begin"/>
      </w:r>
      <w:r w:rsidR="0062720D">
        <w:instrText xml:space="preserve"> ADDIN ZOTERO_ITEM CSL_CITATION {"citationID":"1062dqho02","properties":{"formattedCitation":"(Johnson, 2015, p. 62)","plainCitation":"(Johnson, 2015, p. 62)"},"citationItems":[{"id":556,"uris":["http://zotero.org/users/386570/items/X52HB4HH"],"uri":["http://zotero.org/users/386570/items/X52HB4HH"],"itemData":{"id":556,"type":"bill","title":"Fulfilling our potential: Teaching Excellence, Social Mobility and Student Choice","container-title":"Cm9141","authority":"Business, Innovation and Skills","URL":"https://www.gov.uk/government/uploads/system/uploads/attachment_data/file/474227/BIS-15-623-fulfilling-our-potential-teaching-excellence-social-mobility-and-student-choice.pdf","chapter-number":"2015","author":[{"family":"Johnson","given":"Jo"}],"issued":{"date-parts":[["2015"]]}},"locator":"62"}],"schema":"https://github.com/citation-style-language/schema/raw/master/csl-citation.json"} </w:instrText>
      </w:r>
      <w:r w:rsidR="0062720D">
        <w:fldChar w:fldCharType="separate"/>
      </w:r>
      <w:r w:rsidR="0062720D" w:rsidRPr="0062720D">
        <w:rPr>
          <w:rFonts w:ascii="Calibri" w:hAnsi="Calibri"/>
        </w:rPr>
        <w:t>(Johnson, 2015, p. 62)</w:t>
      </w:r>
      <w:r w:rsidR="0062720D">
        <w:fldChar w:fldCharType="end"/>
      </w:r>
      <w:r w:rsidR="00434982">
        <w:t>,</w:t>
      </w:r>
      <w:r w:rsidR="00FC7EFD">
        <w:t xml:space="preserve"> to </w:t>
      </w:r>
      <w:r w:rsidR="00875C43">
        <w:t>supersede</w:t>
      </w:r>
      <w:r w:rsidR="00FC7EFD">
        <w:t xml:space="preserve"> The Quality Assurance Agency for Higher Education (QAA),</w:t>
      </w:r>
      <w:r w:rsidR="00434982">
        <w:t xml:space="preserve"> one of its powers being “[to ensure]</w:t>
      </w:r>
      <w:r w:rsidR="00434982" w:rsidRPr="00434982">
        <w:t xml:space="preserve"> </w:t>
      </w:r>
      <w:r w:rsidR="00434982" w:rsidRPr="00434982">
        <w:rPr>
          <w:i/>
        </w:rPr>
        <w:t>the rights of students to hold providers to account and get value for money for their investment, and to protect them in the event of a provider exiting the sector</w:t>
      </w:r>
      <w:r w:rsidR="00434982">
        <w:t xml:space="preserve">”. It is to be anticipated, therefore, that institutions will be subject to market forces, and students will be encouraged to seek “satisfaction”. Therefore, it is necessary to somehow realign the joint ventures of </w:t>
      </w:r>
      <w:r w:rsidR="00C3174B">
        <w:t>r</w:t>
      </w:r>
      <w:r w:rsidR="00434982">
        <w:t xml:space="preserve">esearch-focused and </w:t>
      </w:r>
      <w:r w:rsidR="00C3174B">
        <w:t>t</w:t>
      </w:r>
      <w:r w:rsidR="00434982">
        <w:t>eaching-focused academics in order to provide a research-led experience for students.</w:t>
      </w:r>
    </w:p>
    <w:p w:rsidR="0062720D" w:rsidRPr="0062720D" w:rsidRDefault="0062720D" w:rsidP="00576F65">
      <w:pPr>
        <w:spacing w:line="480" w:lineRule="auto"/>
        <w:rPr>
          <w:b/>
        </w:rPr>
      </w:pPr>
      <w:r w:rsidRPr="0062720D">
        <w:rPr>
          <w:b/>
        </w:rPr>
        <w:t xml:space="preserve">Brokering: </w:t>
      </w:r>
      <w:r w:rsidR="00C3174B">
        <w:rPr>
          <w:b/>
        </w:rPr>
        <w:t>m</w:t>
      </w:r>
      <w:r w:rsidRPr="0062720D">
        <w:rPr>
          <w:b/>
        </w:rPr>
        <w:t>aking connections across the boundaries</w:t>
      </w:r>
    </w:p>
    <w:p w:rsidR="00195810" w:rsidRDefault="00434982" w:rsidP="00576F65">
      <w:pPr>
        <w:spacing w:line="480" w:lineRule="auto"/>
      </w:pPr>
      <w:r>
        <w:t xml:space="preserve">Wenger’s </w:t>
      </w:r>
      <w:r>
        <w:fldChar w:fldCharType="begin"/>
      </w:r>
      <w:r>
        <w:instrText xml:space="preserve"> ADDIN ZOTERO_ITEM CSL_CITATION {"citationID":"32f1821h2","properties":{"formattedCitation":"(1998)","plainCitation":"(1998)"},"citationItems":[{"id":40,"uris":["http://zotero.org/users/386570/items/6BAXBENI"],"uri":["http://zotero.org/users/386570/items/6BAXBENI"],"itemData":{"id":40,"type":"book","title":"Communities of Practice: Learning, Meaning and Identity","collection-title":"Learning in doing: social, cognitive and computational perspectives","publisher":"Cambridge University Press","author":[{"family":"Wenger","given":"Etienne"}],"issued":{"date-parts":[["1998"]]}},"suppress-author":true}],"schema":"https://github.com/citation-style-language/schema/raw/master/csl-citation.json"} </w:instrText>
      </w:r>
      <w:r>
        <w:fldChar w:fldCharType="separate"/>
      </w:r>
      <w:r w:rsidRPr="00434982">
        <w:rPr>
          <w:rFonts w:ascii="Calibri" w:hAnsi="Calibri"/>
        </w:rPr>
        <w:t>(1998)</w:t>
      </w:r>
      <w:r>
        <w:fldChar w:fldCharType="end"/>
      </w:r>
      <w:r>
        <w:t xml:space="preserve"> </w:t>
      </w:r>
      <w:r w:rsidR="00C3174B">
        <w:t>c</w:t>
      </w:r>
      <w:r>
        <w:t xml:space="preserve">ommunities of </w:t>
      </w:r>
      <w:r w:rsidR="00C3174B">
        <w:t>p</w:t>
      </w:r>
      <w:r>
        <w:t>ractice do not operat</w:t>
      </w:r>
      <w:r w:rsidR="004951B4">
        <w:t>e in isolation. In reality, while</w:t>
      </w:r>
      <w:r>
        <w:t xml:space="preserve"> </w:t>
      </w:r>
      <w:r w:rsidR="00C3174B">
        <w:t>c</w:t>
      </w:r>
      <w:r>
        <w:t xml:space="preserve">ommunities of </w:t>
      </w:r>
      <w:r w:rsidR="00C3174B">
        <w:t>p</w:t>
      </w:r>
      <w:r>
        <w:t>ractice</w:t>
      </w:r>
      <w:r w:rsidR="004951B4">
        <w:t xml:space="preserve"> </w:t>
      </w:r>
      <w:r>
        <w:t xml:space="preserve">are distinct and can be identified as such, they work alongside one another, and </w:t>
      </w:r>
      <w:r w:rsidR="004951B4">
        <w:t xml:space="preserve">mutually </w:t>
      </w:r>
      <w:r>
        <w:t>benefit from connections which are made across the boundaries between them.</w:t>
      </w:r>
      <w:r w:rsidR="002D2B5E">
        <w:t xml:space="preserve"> Connections between </w:t>
      </w:r>
      <w:r w:rsidR="00C3174B">
        <w:t>c</w:t>
      </w:r>
      <w:r w:rsidR="002D2B5E">
        <w:t xml:space="preserve">ommunities of </w:t>
      </w:r>
      <w:r w:rsidR="00C3174B">
        <w:t>p</w:t>
      </w:r>
      <w:r w:rsidR="002D2B5E">
        <w:t>ractice are made</w:t>
      </w:r>
      <w:r w:rsidR="004B4D59">
        <w:t xml:space="preserve"> in two ways</w:t>
      </w:r>
      <w:r w:rsidR="002D2B5E">
        <w:t xml:space="preserve">, either via </w:t>
      </w:r>
      <w:r w:rsidR="002D2B5E" w:rsidRPr="004B4D59">
        <w:rPr>
          <w:i/>
        </w:rPr>
        <w:t>boundary objects</w:t>
      </w:r>
      <w:r w:rsidR="002D2B5E">
        <w:t xml:space="preserve"> or by </w:t>
      </w:r>
      <w:r w:rsidR="002D2B5E" w:rsidRPr="004B4D59">
        <w:rPr>
          <w:i/>
        </w:rPr>
        <w:t>brokering</w:t>
      </w:r>
      <w:r w:rsidR="002D2B5E">
        <w:t>. Boundary objects are defined as “</w:t>
      </w:r>
      <w:proofErr w:type="spellStart"/>
      <w:r w:rsidR="002D2B5E">
        <w:t>artifacts</w:t>
      </w:r>
      <w:proofErr w:type="spellEnd"/>
      <w:r w:rsidR="002D2B5E">
        <w:t xml:space="preserve">, documents, terms, concepts and other forms of reification around which communities of practice can organize their interconnections”, while brokering is defined as “connections provided by people who can introduce elements of one practice into another” </w:t>
      </w:r>
      <w:r w:rsidR="002D2B5E">
        <w:fldChar w:fldCharType="begin"/>
      </w:r>
      <w:r w:rsidR="002D2B5E">
        <w:instrText xml:space="preserve"> ADDIN ZOTERO_ITEM CSL_CITATION {"citationID":"1odsf7vg87","properties":{"formattedCitation":"(Wenger, 1998, p. 105)","plainCitation":"(Wenger, 1998, p. 105)"},"citationItems":[{"id":40,"uris":["http://zotero.org/users/386570/items/6BAXBENI"],"uri":["http://zotero.org/users/386570/items/6BAXBENI"],"itemData":{"id":40,"type":"book","title":"Communities of Practice: Learning, Meaning and Identity","collection-title":"Learning in doing: social, cognitive and computational perspectives","publisher":"Cambridge University Press","author":[{"family":"Wenger","given":"Etienne"}],"issued":{"date-parts":[["1998"]]}},"locator":"105"}],"schema":"https://github.com/citation-style-language/schema/raw/master/csl-citation.json"} </w:instrText>
      </w:r>
      <w:r w:rsidR="002D2B5E">
        <w:fldChar w:fldCharType="separate"/>
      </w:r>
      <w:r w:rsidR="002D2B5E" w:rsidRPr="002D2B5E">
        <w:rPr>
          <w:rFonts w:ascii="Calibri" w:hAnsi="Calibri"/>
        </w:rPr>
        <w:t>(Wenger, 1998, p. 105)</w:t>
      </w:r>
      <w:r w:rsidR="002D2B5E">
        <w:fldChar w:fldCharType="end"/>
      </w:r>
      <w:r w:rsidR="002D2B5E">
        <w:t xml:space="preserve">. As it stands, the </w:t>
      </w:r>
      <w:r w:rsidR="00C3174B">
        <w:t>r</w:t>
      </w:r>
      <w:r w:rsidR="002D2B5E">
        <w:t xml:space="preserve">esearch-focused and </w:t>
      </w:r>
      <w:r w:rsidR="00C3174B">
        <w:t>t</w:t>
      </w:r>
      <w:r w:rsidR="002D2B5E">
        <w:t xml:space="preserve">eaching-focused </w:t>
      </w:r>
      <w:r w:rsidR="00C3174B">
        <w:t>c</w:t>
      </w:r>
      <w:r w:rsidR="002D2B5E">
        <w:t xml:space="preserve">ommunities of </w:t>
      </w:r>
      <w:r w:rsidR="00C3174B">
        <w:t>p</w:t>
      </w:r>
      <w:r w:rsidR="002D2B5E">
        <w:t xml:space="preserve">ractice share many boundary objects; a common knowledge base, common vocabulary and discourse, common or similar environments, equipment, methodologies. All of these serve as connections between the </w:t>
      </w:r>
      <w:r w:rsidR="00C3174B">
        <w:t>r</w:t>
      </w:r>
      <w:r w:rsidR="002D2B5E">
        <w:t xml:space="preserve">esearch-focused and </w:t>
      </w:r>
      <w:r w:rsidR="00C3174B">
        <w:t>t</w:t>
      </w:r>
      <w:r w:rsidR="002D2B5E">
        <w:t xml:space="preserve">eaching-focused </w:t>
      </w:r>
      <w:r w:rsidR="00C3174B">
        <w:t>c</w:t>
      </w:r>
      <w:r w:rsidR="002D2B5E">
        <w:t xml:space="preserve">ommunities of </w:t>
      </w:r>
      <w:r w:rsidR="00C3174B">
        <w:t>p</w:t>
      </w:r>
      <w:r w:rsidR="002D2B5E">
        <w:t xml:space="preserve">ractice, </w:t>
      </w:r>
      <w:r w:rsidR="002D2B5E">
        <w:lastRenderedPageBreak/>
        <w:t xml:space="preserve">identifying the participants as </w:t>
      </w:r>
      <w:r w:rsidR="00C3174B">
        <w:t>l</w:t>
      </w:r>
      <w:r w:rsidR="002D2B5E">
        <w:t xml:space="preserve">ife </w:t>
      </w:r>
      <w:r w:rsidR="00C3174B">
        <w:t>s</w:t>
      </w:r>
      <w:r w:rsidR="002D2B5E">
        <w:t>cient</w:t>
      </w:r>
      <w:r w:rsidR="00FC7EFD">
        <w:t>ist</w:t>
      </w:r>
      <w:r w:rsidR="002D2B5E">
        <w:t>s, albeit with a diff</w:t>
      </w:r>
      <w:r w:rsidR="00FC7EFD">
        <w:t>erent primary focus of activiti</w:t>
      </w:r>
      <w:r w:rsidR="002D2B5E">
        <w:t>es.</w:t>
      </w:r>
      <w:r w:rsidR="00FC7EFD">
        <w:t xml:space="preserve"> In contrast, the opportunities for brokering remain limited, and the individuals who participate </w:t>
      </w:r>
      <w:r w:rsidR="004B4D59">
        <w:t xml:space="preserve">in the </w:t>
      </w:r>
      <w:r w:rsidR="00C3174B">
        <w:t>c</w:t>
      </w:r>
      <w:r w:rsidR="004B4D59">
        <w:t xml:space="preserve">ommunities of </w:t>
      </w:r>
      <w:r w:rsidR="00C3174B">
        <w:t>p</w:t>
      </w:r>
      <w:r w:rsidR="004B4D59">
        <w:t>ractice</w:t>
      </w:r>
      <w:r w:rsidR="00FC7EFD">
        <w:t xml:space="preserve"> remain, by and large, separated by the structures of the institution. Given that there are many boundary objects which the two </w:t>
      </w:r>
      <w:r w:rsidR="00C3174B">
        <w:t>c</w:t>
      </w:r>
      <w:r w:rsidR="00FC7EFD">
        <w:t xml:space="preserve">ommunities of </w:t>
      </w:r>
      <w:r w:rsidR="00C3174B">
        <w:t>p</w:t>
      </w:r>
      <w:r w:rsidR="00FC7EFD">
        <w:t>ractice share, opportunities for brokering could be</w:t>
      </w:r>
      <w:r w:rsidR="004B4D59">
        <w:t xml:space="preserve"> better</w:t>
      </w:r>
      <w:r w:rsidR="00FC7EFD">
        <w:t xml:space="preserve"> facilitated. </w:t>
      </w:r>
      <w:r w:rsidR="004B4D59">
        <w:t>Opportunities to improve brokering necessitate</w:t>
      </w:r>
      <w:r w:rsidR="00FC7EFD">
        <w:t xml:space="preserve"> the recognition of two distinct boundary objects which can be used as capital to facilitate exchange: The Scholarship of Teaching and Learning (SoTL), owned by the </w:t>
      </w:r>
      <w:r w:rsidR="00C3174B">
        <w:t>t</w:t>
      </w:r>
      <w:r w:rsidR="00FC7EFD">
        <w:t xml:space="preserve">eaching-focused </w:t>
      </w:r>
      <w:r w:rsidR="00C3174B">
        <w:t>c</w:t>
      </w:r>
      <w:r w:rsidR="00FC7EFD">
        <w:t xml:space="preserve">ommunity and up-to-date Disciplinary Research, owned by the </w:t>
      </w:r>
      <w:r w:rsidR="00C3174B">
        <w:t>r</w:t>
      </w:r>
      <w:r w:rsidR="00FC7EFD">
        <w:t>esearch-focused Community.</w:t>
      </w:r>
    </w:p>
    <w:p w:rsidR="00332005" w:rsidRDefault="00332005" w:rsidP="00576F65">
      <w:pPr>
        <w:spacing w:line="480" w:lineRule="auto"/>
      </w:pPr>
      <w:r w:rsidRPr="00332005">
        <w:rPr>
          <w:b/>
        </w:rPr>
        <w:t xml:space="preserve">Advantages of </w:t>
      </w:r>
      <w:r w:rsidR="00C3174B">
        <w:rPr>
          <w:b/>
        </w:rPr>
        <w:t>f</w:t>
      </w:r>
      <w:r w:rsidRPr="00332005">
        <w:rPr>
          <w:b/>
        </w:rPr>
        <w:t xml:space="preserve">ostering </w:t>
      </w:r>
      <w:r w:rsidR="00C3174B">
        <w:rPr>
          <w:b/>
        </w:rPr>
        <w:t>b</w:t>
      </w:r>
      <w:r w:rsidRPr="00332005">
        <w:rPr>
          <w:b/>
        </w:rPr>
        <w:t xml:space="preserve">rokering </w:t>
      </w:r>
      <w:r w:rsidR="00C3174B">
        <w:rPr>
          <w:b/>
        </w:rPr>
        <w:t>r</w:t>
      </w:r>
      <w:r w:rsidRPr="00332005">
        <w:rPr>
          <w:b/>
        </w:rPr>
        <w:t xml:space="preserve">elationships between </w:t>
      </w:r>
      <w:r w:rsidR="00C3174B">
        <w:rPr>
          <w:b/>
        </w:rPr>
        <w:t>c</w:t>
      </w:r>
      <w:r w:rsidRPr="00332005">
        <w:rPr>
          <w:b/>
        </w:rPr>
        <w:t>ommunities</w:t>
      </w:r>
    </w:p>
    <w:p w:rsidR="00251697" w:rsidRDefault="00B541E5" w:rsidP="00576F65">
      <w:pPr>
        <w:spacing w:line="480" w:lineRule="auto"/>
      </w:pPr>
      <w:r>
        <w:t xml:space="preserve">Brokering relationships between </w:t>
      </w:r>
      <w:r w:rsidR="00C3174B">
        <w:t>t</w:t>
      </w:r>
      <w:r>
        <w:t xml:space="preserve">eaching-focused academics and </w:t>
      </w:r>
      <w:r w:rsidR="00C3174B">
        <w:t>r</w:t>
      </w:r>
      <w:r>
        <w:t xml:space="preserve">esearch-focused academics works to the advantage of both communities. </w:t>
      </w:r>
      <w:r w:rsidR="00BA2F4B">
        <w:t xml:space="preserve">While it would be naïve to claim that these relationships do not presently exist, it is my experience that they are neither common, nor long-lasting, but rather exist when convenient, on an ad hoc basis, for example, when a particular project or initiative is launched. However, given the proposals </w:t>
      </w:r>
      <w:r w:rsidR="00C3174B">
        <w:t xml:space="preserve">of </w:t>
      </w:r>
      <w:proofErr w:type="gramStart"/>
      <w:r w:rsidR="00C3174B">
        <w:t xml:space="preserve">the </w:t>
      </w:r>
      <w:r w:rsidR="00BA2F4B">
        <w:t xml:space="preserve"> TEF</w:t>
      </w:r>
      <w:proofErr w:type="gramEnd"/>
      <w:r w:rsidR="00BA2F4B">
        <w:t xml:space="preserve"> to foreground teaching and learning and redress the imbalance between it and research, it becomes necessary to facilitate these brokering relationships in a more sustainable fashion. Thus, </w:t>
      </w:r>
      <w:r w:rsidR="00C3174B">
        <w:t>r</w:t>
      </w:r>
      <w:r w:rsidR="00BA2F4B">
        <w:t xml:space="preserve">esearch-focused academics bring with them their latest research findings with which to inform an undergraduate learning activity, </w:t>
      </w:r>
      <w:r w:rsidR="00DC54CC">
        <w:t xml:space="preserve">while </w:t>
      </w:r>
      <w:r w:rsidR="00C3174B">
        <w:t>t</w:t>
      </w:r>
      <w:r w:rsidR="00BA2F4B">
        <w:t>eaching-focused academic</w:t>
      </w:r>
      <w:r w:rsidR="00DC54CC">
        <w:t>s bring</w:t>
      </w:r>
      <w:r w:rsidR="00BA2F4B">
        <w:t xml:space="preserve"> the pedagogic underpinnings with which to make the learning experience valuable to the students. Simultaneously, as each brings their own expertise to the relationship, they also learn from one another, working at the periphery of each other’s expertise. This can work at the level of individual academics</w:t>
      </w:r>
      <w:r w:rsidR="00CD1675">
        <w:t xml:space="preserve">, working within a department, and at any level; </w:t>
      </w:r>
      <w:r w:rsidR="00111D3F">
        <w:t xml:space="preserve">postgraduate, </w:t>
      </w:r>
      <w:r w:rsidR="00CD1675">
        <w:t>postdoctoral</w:t>
      </w:r>
      <w:r w:rsidR="00111D3F">
        <w:t xml:space="preserve"> fellow</w:t>
      </w:r>
      <w:r w:rsidR="00CD1675">
        <w:t xml:space="preserve">, probationer, lecturer, professor. </w:t>
      </w:r>
      <w:r w:rsidR="00111D3F">
        <w:t xml:space="preserve">Teaching-focused academics benefit from this arrangement by working with colleagues who have current research knowledge, while </w:t>
      </w:r>
      <w:r w:rsidR="00EC1FE2">
        <w:t>r</w:t>
      </w:r>
      <w:r w:rsidR="00111D3F">
        <w:t xml:space="preserve">esearch-focused academics learn techniques which they can use to improve their teaching. The benefits go beyond the immediate exchange of expertise; graduate students who participated in </w:t>
      </w:r>
      <w:r w:rsidR="00111D3F">
        <w:lastRenderedPageBreak/>
        <w:t xml:space="preserve">undergraduate teaching saw improvements in their research methodological skills </w:t>
      </w:r>
      <w:r w:rsidR="00111D3F">
        <w:fldChar w:fldCharType="begin"/>
      </w:r>
      <w:r w:rsidR="00111D3F">
        <w:instrText xml:space="preserve"> ADDIN ZOTERO_ITEM CSL_CITATION {"citationID":"107uojr61r","properties":{"formattedCitation":"(Feldon et al., 2011)","plainCitation":"(Feldon et al., 2011)"},"citationItems":[{"id":118,"uris":["http://zotero.org/users/386570/items/DPDTBPVV"],"uri":["http://zotero.org/users/386570/items/DPDTBPVV"],"itemData":{"id":118,"type":"article-journal","title":"Graduate Students’ Teaching Experiences Improve Their Methodological Research Skills","container-title":"Science","page":"1037 -1039","volume":"333","issue":"6045","source":"Highwire 2.0","abstract":"Science, technology, engineering, and mathematics (STEM) graduate students are often encouraged to maximize their engagement with supervised research and minimize teaching obligations. However, the process of teaching students engaged in inquiry provides practice in the application of important research skills. Using a performance rubric, we compared the quality of methodological skills demonstrated in written research proposals for two groups of early career graduate students (those with both teaching and research responsibilities and those with only research responsibilities) at the beginning and end of an academic year. After statistically controlling for preexisting differences between groups, students who both taught and conducted research demonstrate significantly greater improvement in their abilities to generate testable hypotheses and design valid experiments. These results indicate that teaching experience can contribute substantially to the improvement of essential research skills.","DOI":"10.1126/science.1204109","author":[{"family":"Feldon","given":"David F."},{"family":"Peugh","given":"James"},{"family":"Timmerman","given":"Briana E."},{"family":"Maher","given":"Michelle A."},{"family":"Hurst","given":"Melissa"},{"family":"Strickland","given":"Denise"},{"family":"Gilmore","given":"Joanna A."},{"family":"Stiegelmeyer","given":"Cindy"}],"issued":{"date-parts":[["2011"]]}}}],"schema":"https://github.com/citation-style-language/schema/raw/master/csl-citation.json"} </w:instrText>
      </w:r>
      <w:r w:rsidR="00111D3F">
        <w:fldChar w:fldCharType="separate"/>
      </w:r>
      <w:r w:rsidR="00111D3F" w:rsidRPr="00111D3F">
        <w:rPr>
          <w:rFonts w:ascii="Calibri" w:hAnsi="Calibri"/>
        </w:rPr>
        <w:t>(Feldon et al., 2011)</w:t>
      </w:r>
      <w:r w:rsidR="00111D3F">
        <w:fldChar w:fldCharType="end"/>
      </w:r>
      <w:r w:rsidR="00111D3F">
        <w:t>. It may also be possible to</w:t>
      </w:r>
      <w:r w:rsidR="00323684">
        <w:t xml:space="preserve"> extend this exchange by accommodating</w:t>
      </w:r>
      <w:r w:rsidR="00111D3F">
        <w:t xml:space="preserve"> </w:t>
      </w:r>
      <w:r w:rsidR="00EC1FE2">
        <w:t>t</w:t>
      </w:r>
      <w:r w:rsidR="00111D3F">
        <w:t>eaching-focused academics in research labs where they could update their research skills, improving their currency for subsequent years.</w:t>
      </w:r>
    </w:p>
    <w:p w:rsidR="002B4BFC" w:rsidRDefault="002B4BFC" w:rsidP="002B4BFC">
      <w:pPr>
        <w:spacing w:line="480" w:lineRule="auto"/>
      </w:pPr>
      <w:r>
        <w:rPr>
          <w:b/>
        </w:rPr>
        <w:t xml:space="preserve">Seeking </w:t>
      </w:r>
      <w:r w:rsidR="00EC1FE2">
        <w:rPr>
          <w:b/>
        </w:rPr>
        <w:t>e</w:t>
      </w:r>
      <w:r w:rsidRPr="000D73A3">
        <w:rPr>
          <w:b/>
        </w:rPr>
        <w:t xml:space="preserve">xcellence in </w:t>
      </w:r>
      <w:r w:rsidR="00EC1FE2">
        <w:rPr>
          <w:b/>
        </w:rPr>
        <w:t>t</w:t>
      </w:r>
      <w:r w:rsidRPr="000D73A3">
        <w:rPr>
          <w:b/>
        </w:rPr>
        <w:t xml:space="preserve">eaching and </w:t>
      </w:r>
      <w:r w:rsidR="00EC1FE2">
        <w:rPr>
          <w:b/>
        </w:rPr>
        <w:t>l</w:t>
      </w:r>
      <w:r w:rsidRPr="000D73A3">
        <w:rPr>
          <w:b/>
        </w:rPr>
        <w:t>earning</w:t>
      </w:r>
    </w:p>
    <w:p w:rsidR="002B4BFC" w:rsidRDefault="002B4BFC" w:rsidP="002B4BFC">
      <w:pPr>
        <w:spacing w:line="480" w:lineRule="auto"/>
      </w:pPr>
      <w:r>
        <w:t xml:space="preserve">Given the competing pressures that academics work under, it is understandable why individuals may be sceptical of yet more work. However, the work of </w:t>
      </w:r>
      <w:proofErr w:type="spellStart"/>
      <w:r>
        <w:t>Roxå</w:t>
      </w:r>
      <w:proofErr w:type="spellEnd"/>
      <w:r>
        <w:t xml:space="preserve"> and colleagues </w:t>
      </w:r>
      <w:r>
        <w:fldChar w:fldCharType="begin"/>
      </w:r>
      <w:r>
        <w:instrText xml:space="preserve"> ADDIN ZOTERO_ITEM CSL_CITATION {"citationID":"2gkj6q0dlv","properties":{"formattedCitation":"{\\rtf (Rox\\uc0\\u229{} &amp; M\\uc0\\u229{}rtensson, 2011; Rox\\uc0\\u229{}, Olsson, &amp; M\\uc0\\u229{}rtensson, 2007)}","plainCitation":"(Roxå &amp; Mårtensson, 2011; Roxå, Olsson, &amp; Mårtensson, 2007)"},"citationItems":[{"id":24,"uris":["http://zotero.org/users/386570/items/3ZN89AFA"],"uri":["http://zotero.org/users/386570/items/3ZN89AFA"],"itemData":{"id":24,"type":"manuscript","title":"Understanding strong academic microcultures - An exploratory study","publisher-place":"University of Lund","number-of-pages":"40","event-place":"University of Lund","language":"English","author":[{"family":"Roxå","given":"Torgny"},{"family":"Mårtensson","given":"Katarina"}],"issued":{"date-parts":[["2011"]]}},"label":"page"},{"id":215,"uris":["http://zotero.org/users/386570/items/RDG7ZFTF"],"uri":["http://zotero.org/users/386570/items/RDG7ZFTF"],"itemData":{"id":215,"type":"paper-conference","title":"Scholarship of Teaching and Learning as a strategy for institutional change","container-title":"Proceedings of the 30th HERDSA Annual Conference","publisher":"Higher Education Research and Development Society of Australasia, Inc","publisher-place":"Adelaide, South Australia","page":"487-494","event":"Enhancing Higher Education, Theory and Scholarship","event-place":"Adelaide, South Australia","ISBN":"0 908557 71 X","author":[{"family":"Roxå","given":"Torgny"},{"family":"Olsson","given":"Thomas"},{"family":"Mårtensson","given":"Katarina"}],"issued":{"date-parts":[["2007"]]}},"label":"page"}],"schema":"https://github.com/citation-style-language/schema/raw/master/csl-citation.json"} </w:instrText>
      </w:r>
      <w:r>
        <w:fldChar w:fldCharType="separate"/>
      </w:r>
      <w:r w:rsidRPr="001E710A">
        <w:rPr>
          <w:rFonts w:ascii="Calibri" w:hAnsi="Calibri" w:cs="Times New Roman"/>
          <w:szCs w:val="24"/>
        </w:rPr>
        <w:t>(Roxå &amp; Mårtensson, 2011; Roxå, Olsson, &amp; Mårtensson, 2007)</w:t>
      </w:r>
      <w:r>
        <w:fldChar w:fldCharType="end"/>
      </w:r>
      <w:r>
        <w:t xml:space="preserve"> suggests that there are two strategies which departments employ when attempting to improve “excellence” in teaching and learning, one of which is more likely to be </w:t>
      </w:r>
      <w:r w:rsidR="00EC1FE2">
        <w:t xml:space="preserve">more </w:t>
      </w:r>
      <w:r>
        <w:t xml:space="preserve">successful than the other. In what they term “Trajectory 1”, there are a few experts in pedagogy within a department who are relied upon by the colleagues to implement teaching and learning innovations. However, this leads to patchy application of pedagogic principles, which translates into differences in student experience. </w:t>
      </w:r>
      <w:proofErr w:type="spellStart"/>
      <w:r>
        <w:t>Roxå</w:t>
      </w:r>
      <w:proofErr w:type="spellEnd"/>
      <w:r>
        <w:t xml:space="preserve"> and his colleagues suggest that “Trajectory 2” represents a better strategy for departmental excellence in teaching and learning, by having every academic participate in it to a greater or lesser extent, thereby affecting departmental culture. In order for this to happen, it is necessary to broker relationships between Teaching-focused academics, who already have pedagogic knowledge, and </w:t>
      </w:r>
      <w:r w:rsidR="00EC1FE2">
        <w:t>r</w:t>
      </w:r>
      <w:r>
        <w:t>esearch-focused academics, who have disciplinary research knowledge.</w:t>
      </w:r>
    </w:p>
    <w:p w:rsidR="002B4BFC" w:rsidRPr="002B4BFC" w:rsidRDefault="002B4BFC" w:rsidP="00576F65">
      <w:pPr>
        <w:spacing w:line="480" w:lineRule="auto"/>
        <w:rPr>
          <w:b/>
        </w:rPr>
      </w:pPr>
      <w:r>
        <w:rPr>
          <w:b/>
        </w:rPr>
        <w:t xml:space="preserve">The </w:t>
      </w:r>
      <w:r w:rsidR="00EC1FE2">
        <w:rPr>
          <w:b/>
        </w:rPr>
        <w:t>r</w:t>
      </w:r>
      <w:r>
        <w:rPr>
          <w:b/>
        </w:rPr>
        <w:t xml:space="preserve">ole of </w:t>
      </w:r>
      <w:r w:rsidR="00EC1FE2">
        <w:rPr>
          <w:b/>
        </w:rPr>
        <w:t>l</w:t>
      </w:r>
      <w:r>
        <w:rPr>
          <w:b/>
        </w:rPr>
        <w:t xml:space="preserve">earned </w:t>
      </w:r>
      <w:r w:rsidR="00EC1FE2">
        <w:rPr>
          <w:b/>
        </w:rPr>
        <w:t>s</w:t>
      </w:r>
      <w:r>
        <w:rPr>
          <w:b/>
        </w:rPr>
        <w:t>ocieties</w:t>
      </w:r>
    </w:p>
    <w:p w:rsidR="00332005" w:rsidRDefault="002B4BFC" w:rsidP="00576F65">
      <w:pPr>
        <w:spacing w:line="480" w:lineRule="auto"/>
      </w:pPr>
      <w:r>
        <w:t>Brokering also has</w:t>
      </w:r>
      <w:r w:rsidR="00CD1675">
        <w:t xml:space="preserve"> the potential to work at a broader level, between institutions. In order for brokering relationships to be facilitated and encouraged, it is vital to have individuals from both </w:t>
      </w:r>
      <w:r w:rsidR="00EC1FE2">
        <w:t>c</w:t>
      </w:r>
      <w:r w:rsidR="00CD1675">
        <w:t xml:space="preserve">ommunities of </w:t>
      </w:r>
      <w:r w:rsidR="00EC1FE2">
        <w:t>p</w:t>
      </w:r>
      <w:r w:rsidR="00CD1675">
        <w:t xml:space="preserve">ractice mixing together, and communicating their expertise. For </w:t>
      </w:r>
      <w:r w:rsidR="00EC1FE2">
        <w:t>l</w:t>
      </w:r>
      <w:r w:rsidR="00CD1675">
        <w:t xml:space="preserve">ife </w:t>
      </w:r>
      <w:r w:rsidR="00EC1FE2">
        <w:t>s</w:t>
      </w:r>
      <w:r w:rsidR="00CD1675">
        <w:t xml:space="preserve">cientists, meetings such as those organised by </w:t>
      </w:r>
      <w:r w:rsidR="00EC1FE2">
        <w:t>l</w:t>
      </w:r>
      <w:r w:rsidR="00CD1675">
        <w:t xml:space="preserve">earned </w:t>
      </w:r>
      <w:r w:rsidR="00EC1FE2">
        <w:t>s</w:t>
      </w:r>
      <w:r w:rsidR="00CD1675">
        <w:t xml:space="preserve">ocieties are vital as a means for </w:t>
      </w:r>
      <w:r w:rsidR="00EC1FE2">
        <w:t>r</w:t>
      </w:r>
      <w:r w:rsidR="00CD1675">
        <w:t xml:space="preserve">esearch-focused and </w:t>
      </w:r>
      <w:r w:rsidR="00EC1FE2">
        <w:t>t</w:t>
      </w:r>
      <w:r w:rsidR="00CD1675">
        <w:t>eaching-focused academics to mix.</w:t>
      </w:r>
      <w:r w:rsidR="00D67DCC">
        <w:t xml:space="preserve"> For example, the SEB+ session at the 2015 SEB Annual Conference in Prague was a vibrant, well-attended day of presentations and discussion, notable for </w:t>
      </w:r>
      <w:r w:rsidR="00D67DCC">
        <w:lastRenderedPageBreak/>
        <w:t xml:space="preserve">the mix of </w:t>
      </w:r>
      <w:r w:rsidR="00EC1FE2">
        <w:t>r</w:t>
      </w:r>
      <w:r w:rsidR="00D67DCC">
        <w:t xml:space="preserve">esearch-focused and </w:t>
      </w:r>
      <w:r w:rsidR="00EC1FE2">
        <w:t>t</w:t>
      </w:r>
      <w:r w:rsidR="00D67DCC">
        <w:t>eaching-focused academics in attendance.</w:t>
      </w:r>
      <w:r w:rsidR="000D73A3">
        <w:t xml:space="preserve"> Plans are already in place for another SEB+ session in Brighton in 2016, based on its success in Prague.</w:t>
      </w:r>
      <w:r w:rsidR="001E710A">
        <w:t xml:space="preserve"> The SEB+ session offers a space where the issues of teaching and learning in a scholarly manner can be discussed in a supportive environment, and where good practice </w:t>
      </w:r>
      <w:r w:rsidR="00323684">
        <w:t>can be shared. While it is possibly to</w:t>
      </w:r>
      <w:r>
        <w:t>o</w:t>
      </w:r>
      <w:r w:rsidR="00323684">
        <w:t xml:space="preserve"> early to draw any conclusions from the session, if it gives </w:t>
      </w:r>
      <w:r w:rsidR="00EC1FE2">
        <w:t>r</w:t>
      </w:r>
      <w:r w:rsidR="00323684">
        <w:t>esearch-focused academics an opportunity to reflect on their teaching practice, and sparks some level of interest in pedago</w:t>
      </w:r>
      <w:r>
        <w:t>gy, then it is to be encouraged, and accepted as a regular part of the conference programme.</w:t>
      </w:r>
    </w:p>
    <w:p w:rsidR="00854F17" w:rsidRDefault="00854F17" w:rsidP="00576F65">
      <w:pPr>
        <w:spacing w:line="480" w:lineRule="auto"/>
        <w:rPr>
          <w:b/>
        </w:rPr>
      </w:pPr>
      <w:r w:rsidRPr="00854F17">
        <w:rPr>
          <w:b/>
        </w:rPr>
        <w:t>Conclusions</w:t>
      </w:r>
    </w:p>
    <w:p w:rsidR="00DD2114" w:rsidRDefault="00DD2114" w:rsidP="00576F65">
      <w:pPr>
        <w:spacing w:line="480" w:lineRule="auto"/>
      </w:pPr>
      <w:r>
        <w:t xml:space="preserve">Disciplinary research has enjoyed a prioritisation within UK Higher Education, fuelled by the pressures of the </w:t>
      </w:r>
      <w:r w:rsidR="00EC1FE2">
        <w:t>REF</w:t>
      </w:r>
      <w:r>
        <w:t xml:space="preserve">. While the proposed </w:t>
      </w:r>
      <w:r w:rsidR="00EC1FE2">
        <w:t>TEF</w:t>
      </w:r>
      <w:r>
        <w:t xml:space="preserve"> seeks to address this imbalance, and restore the status of teaching and learning in </w:t>
      </w:r>
      <w:r w:rsidR="00EC1FE2">
        <w:t>h</w:t>
      </w:r>
      <w:r>
        <w:t xml:space="preserve">igher </w:t>
      </w:r>
      <w:r w:rsidR="00EC1FE2">
        <w:t>e</w:t>
      </w:r>
      <w:r>
        <w:t xml:space="preserve">ducation, at this time it does not propose how it will do it. This paper has laid out a proposal, underpinned by pedagogic research theory, which suggests that closer working relationships between </w:t>
      </w:r>
      <w:r w:rsidR="00EC1FE2">
        <w:t>t</w:t>
      </w:r>
      <w:r>
        <w:t xml:space="preserve">eaching-focused and </w:t>
      </w:r>
      <w:r w:rsidR="00EC1FE2">
        <w:t>r</w:t>
      </w:r>
      <w:r>
        <w:t xml:space="preserve">esearch-focused </w:t>
      </w:r>
      <w:r w:rsidR="002E767C">
        <w:t>academics is necessary in order to address “excellence”, by developing the disciplinary and pedagogic expertise of academics by facilitating the exchange of knowledge via expert relationships, which Wenger names “brokering”.</w:t>
      </w:r>
      <w:r w:rsidR="006D7D3A">
        <w:t xml:space="preserve"> The opportunities for brokering may take place within a department, but there is also a role for </w:t>
      </w:r>
      <w:r w:rsidR="00EC1FE2">
        <w:t>l</w:t>
      </w:r>
      <w:r w:rsidR="006D7D3A">
        <w:t xml:space="preserve">earned </w:t>
      </w:r>
      <w:r w:rsidR="00EC1FE2">
        <w:t>s</w:t>
      </w:r>
      <w:r w:rsidR="006D7D3A">
        <w:t>ocieties, such as The Society for Experimental Biology, to support brokering relationships between disciplinary and pedagogic practitioners.</w:t>
      </w:r>
    </w:p>
    <w:p w:rsidR="006D7D3A" w:rsidRPr="00DD2114" w:rsidRDefault="00156065" w:rsidP="00576F65">
      <w:pPr>
        <w:spacing w:line="480" w:lineRule="auto"/>
      </w:pPr>
      <w:r>
        <w:t>I welcome discussion on this topic.</w:t>
      </w:r>
    </w:p>
    <w:p w:rsidR="000549F1" w:rsidRDefault="000549F1">
      <w:r w:rsidRPr="000549F1">
        <w:rPr>
          <w:b/>
        </w:rPr>
        <w:t>Competing interests</w:t>
      </w:r>
      <w:r>
        <w:t>: There are no competing interests. All opinions expressed in the article are those of the author.</w:t>
      </w:r>
    </w:p>
    <w:p w:rsidR="000549F1" w:rsidRDefault="000549F1">
      <w:r>
        <w:rPr>
          <w:b/>
        </w:rPr>
        <w:t>Grant information</w:t>
      </w:r>
      <w:r>
        <w:t>: No grant is associated with this article.</w:t>
      </w:r>
    </w:p>
    <w:p w:rsidR="000549F1" w:rsidRPr="000549F1" w:rsidRDefault="000549F1">
      <w:r>
        <w:rPr>
          <w:b/>
        </w:rPr>
        <w:t>References</w:t>
      </w:r>
      <w:r>
        <w:t>:</w:t>
      </w:r>
    </w:p>
    <w:p w:rsidR="00294508" w:rsidRPr="00294508" w:rsidRDefault="00294508" w:rsidP="00294508">
      <w:pPr>
        <w:pStyle w:val="Bibliography"/>
        <w:rPr>
          <w:rFonts w:ascii="Calibri" w:hAnsi="Calibri"/>
        </w:rPr>
      </w:pPr>
      <w:r>
        <w:rPr>
          <w:b/>
        </w:rPr>
        <w:fldChar w:fldCharType="begin"/>
      </w:r>
      <w:r>
        <w:rPr>
          <w:b/>
        </w:rPr>
        <w:instrText xml:space="preserve"> ADDIN ZOTERO_BIBL {"custom":[]} CSL_BIBLIOGRAPHY </w:instrText>
      </w:r>
      <w:r>
        <w:rPr>
          <w:b/>
        </w:rPr>
        <w:fldChar w:fldCharType="separate"/>
      </w:r>
      <w:r w:rsidRPr="00294508">
        <w:rPr>
          <w:rFonts w:ascii="Calibri" w:hAnsi="Calibri"/>
        </w:rPr>
        <w:t xml:space="preserve">Bandura, A. (1977). </w:t>
      </w:r>
      <w:r w:rsidRPr="00294508">
        <w:rPr>
          <w:rFonts w:ascii="Calibri" w:hAnsi="Calibri"/>
          <w:i/>
          <w:iCs/>
        </w:rPr>
        <w:t>Social learning theory</w:t>
      </w:r>
      <w:r w:rsidRPr="00294508">
        <w:rPr>
          <w:rFonts w:ascii="Calibri" w:hAnsi="Calibri"/>
        </w:rPr>
        <w:t>. Eaglewood Cliffs, NJ.: Prentice-Hall.</w:t>
      </w:r>
    </w:p>
    <w:p w:rsidR="00294508" w:rsidRPr="00294508" w:rsidRDefault="00294508" w:rsidP="00294508">
      <w:pPr>
        <w:pStyle w:val="Bibliography"/>
        <w:rPr>
          <w:rFonts w:ascii="Calibri" w:hAnsi="Calibri"/>
        </w:rPr>
      </w:pPr>
      <w:r w:rsidRPr="00294508">
        <w:rPr>
          <w:rFonts w:ascii="Calibri" w:hAnsi="Calibri"/>
        </w:rPr>
        <w:t xml:space="preserve">Dearing, R. (1997). </w:t>
      </w:r>
      <w:r w:rsidRPr="00294508">
        <w:rPr>
          <w:rFonts w:ascii="Calibri" w:hAnsi="Calibri"/>
          <w:i/>
          <w:iCs/>
        </w:rPr>
        <w:t>National Committee of Inquiry into Higher Education</w:t>
      </w:r>
      <w:r w:rsidRPr="00294508">
        <w:rPr>
          <w:rFonts w:ascii="Calibri" w:hAnsi="Calibri"/>
        </w:rPr>
        <w:t>. Retrieved from http://bei.leeds.ac.uk/Partners/NCIHE</w:t>
      </w:r>
    </w:p>
    <w:p w:rsidR="00294508" w:rsidRPr="00294508" w:rsidRDefault="00294508" w:rsidP="00294508">
      <w:pPr>
        <w:pStyle w:val="Bibliography"/>
        <w:rPr>
          <w:rFonts w:ascii="Calibri" w:hAnsi="Calibri"/>
        </w:rPr>
      </w:pPr>
      <w:r w:rsidRPr="00294508">
        <w:rPr>
          <w:rFonts w:ascii="Calibri" w:hAnsi="Calibri"/>
        </w:rPr>
        <w:lastRenderedPageBreak/>
        <w:t xml:space="preserve">Engeström, Y. (1987). </w:t>
      </w:r>
      <w:r w:rsidRPr="00294508">
        <w:rPr>
          <w:rFonts w:ascii="Calibri" w:hAnsi="Calibri"/>
          <w:i/>
          <w:iCs/>
        </w:rPr>
        <w:t>Learning by expanding: An activity-theoretical approach to developmental research.</w:t>
      </w:r>
      <w:r w:rsidRPr="00294508">
        <w:rPr>
          <w:rFonts w:ascii="Calibri" w:hAnsi="Calibri"/>
        </w:rPr>
        <w:t xml:space="preserve"> Helsinki: Orienta-Konsultit.</w:t>
      </w:r>
    </w:p>
    <w:p w:rsidR="00294508" w:rsidRPr="00294508" w:rsidRDefault="00294508" w:rsidP="00294508">
      <w:pPr>
        <w:pStyle w:val="Bibliography"/>
        <w:rPr>
          <w:rFonts w:ascii="Calibri" w:hAnsi="Calibri"/>
        </w:rPr>
      </w:pPr>
      <w:r w:rsidRPr="00294508">
        <w:rPr>
          <w:rFonts w:ascii="Calibri" w:hAnsi="Calibri"/>
        </w:rPr>
        <w:t xml:space="preserve">Feldon, D. F., Peugh, J., Timmerman, B. E., Maher, M. A., Hurst, M., Strickland, D., … Stiegelmeyer, C. (2011). Graduate Students’ Teaching Experiences Improve Their Methodological Research Skills. </w:t>
      </w:r>
      <w:r w:rsidRPr="00294508">
        <w:rPr>
          <w:rFonts w:ascii="Calibri" w:hAnsi="Calibri"/>
          <w:i/>
          <w:iCs/>
        </w:rPr>
        <w:t>Science</w:t>
      </w:r>
      <w:r w:rsidRPr="00294508">
        <w:rPr>
          <w:rFonts w:ascii="Calibri" w:hAnsi="Calibri"/>
        </w:rPr>
        <w:t xml:space="preserve">, </w:t>
      </w:r>
      <w:r w:rsidRPr="00294508">
        <w:rPr>
          <w:rFonts w:ascii="Calibri" w:hAnsi="Calibri"/>
          <w:i/>
          <w:iCs/>
        </w:rPr>
        <w:t>333</w:t>
      </w:r>
      <w:r w:rsidRPr="00294508">
        <w:rPr>
          <w:rFonts w:ascii="Calibri" w:hAnsi="Calibri"/>
        </w:rPr>
        <w:t>(6045), 1037 –1039. http://doi.org/10.1126/science.1204109</w:t>
      </w:r>
    </w:p>
    <w:p w:rsidR="00294508" w:rsidRPr="00294508" w:rsidRDefault="00294508" w:rsidP="00294508">
      <w:pPr>
        <w:pStyle w:val="Bibliography"/>
        <w:rPr>
          <w:rFonts w:ascii="Calibri" w:hAnsi="Calibri"/>
        </w:rPr>
      </w:pPr>
      <w:r w:rsidRPr="00294508">
        <w:rPr>
          <w:rFonts w:ascii="Calibri" w:hAnsi="Calibri"/>
        </w:rPr>
        <w:t>Gosling, D. (2010). Is your Pg Cert compulsory for new staff? A summary of responses from the SEDA JISCMail list. Retrieved from https://www.jiscmail.ac.uk/cgi-bin/webadmin?A1=ind1001&amp;L=SEDA#23</w:t>
      </w:r>
    </w:p>
    <w:p w:rsidR="00294508" w:rsidRPr="00294508" w:rsidRDefault="00294508" w:rsidP="00294508">
      <w:pPr>
        <w:pStyle w:val="Bibliography"/>
        <w:rPr>
          <w:rFonts w:ascii="Calibri" w:hAnsi="Calibri"/>
        </w:rPr>
      </w:pPr>
      <w:r w:rsidRPr="00294508">
        <w:rPr>
          <w:rFonts w:ascii="Calibri" w:hAnsi="Calibri"/>
        </w:rPr>
        <w:t>Higher Education Funding Council for England. (n.d.). The Research Excellence Framework. Retrieved 5 October 2013, from http://www.ref.ac.uk</w:t>
      </w:r>
    </w:p>
    <w:p w:rsidR="00294508" w:rsidRPr="00294508" w:rsidRDefault="00294508" w:rsidP="00294508">
      <w:pPr>
        <w:pStyle w:val="Bibliography"/>
        <w:rPr>
          <w:rFonts w:ascii="Calibri" w:hAnsi="Calibri"/>
        </w:rPr>
      </w:pPr>
      <w:r w:rsidRPr="00294508">
        <w:rPr>
          <w:rFonts w:ascii="Calibri" w:hAnsi="Calibri"/>
        </w:rPr>
        <w:t>Human Resources, College of MVLS. (n.d.). Retrieved 29 December 2015, from http://www.gla.ac.uk/services/humanresources/all/pay/promotion/acadpromo/#d.en.300506</w:t>
      </w:r>
    </w:p>
    <w:p w:rsidR="00294508" w:rsidRPr="00294508" w:rsidRDefault="00294508" w:rsidP="00294508">
      <w:pPr>
        <w:pStyle w:val="Bibliography"/>
        <w:rPr>
          <w:rFonts w:ascii="Calibri" w:hAnsi="Calibri"/>
        </w:rPr>
      </w:pPr>
      <w:r w:rsidRPr="00294508">
        <w:rPr>
          <w:rFonts w:ascii="Calibri" w:hAnsi="Calibri"/>
        </w:rPr>
        <w:t>Johnson, J. Fulfilling our potential: Teaching Excellence, Social Mobility and Student Choice, Cm9141 (2015). Retrieved from https://www.gov.uk/government/uploads/system/uploads/attachment_data/file/474227/BIS-15-623-fulfilling-our-potential-teaching-excellence-social-mobility-and-student-choice.pdf</w:t>
      </w:r>
    </w:p>
    <w:p w:rsidR="00294508" w:rsidRPr="00294508" w:rsidRDefault="00294508" w:rsidP="00294508">
      <w:pPr>
        <w:pStyle w:val="Bibliography"/>
        <w:rPr>
          <w:rFonts w:ascii="Calibri" w:hAnsi="Calibri"/>
        </w:rPr>
      </w:pPr>
      <w:r w:rsidRPr="00294508">
        <w:rPr>
          <w:rFonts w:ascii="Calibri" w:hAnsi="Calibri"/>
        </w:rPr>
        <w:t xml:space="preserve">Parsons, T. (1962). </w:t>
      </w:r>
      <w:r w:rsidRPr="00294508">
        <w:rPr>
          <w:rFonts w:ascii="Calibri" w:hAnsi="Calibri"/>
          <w:i/>
          <w:iCs/>
        </w:rPr>
        <w:t>The Structure of Social Action</w:t>
      </w:r>
      <w:r w:rsidRPr="00294508">
        <w:rPr>
          <w:rFonts w:ascii="Calibri" w:hAnsi="Calibri"/>
        </w:rPr>
        <w:t>. New York: Free Press.</w:t>
      </w:r>
    </w:p>
    <w:p w:rsidR="00294508" w:rsidRPr="00294508" w:rsidRDefault="00294508" w:rsidP="00294508">
      <w:pPr>
        <w:pStyle w:val="Bibliography"/>
        <w:rPr>
          <w:rFonts w:ascii="Calibri" w:hAnsi="Calibri"/>
        </w:rPr>
      </w:pPr>
      <w:r w:rsidRPr="00294508">
        <w:rPr>
          <w:rFonts w:ascii="Calibri" w:hAnsi="Calibri"/>
        </w:rPr>
        <w:t xml:space="preserve">Roxå, T., &amp; Mårtensson, K. (2011). </w:t>
      </w:r>
      <w:r w:rsidRPr="00294508">
        <w:rPr>
          <w:rFonts w:ascii="Calibri" w:hAnsi="Calibri"/>
          <w:i/>
          <w:iCs/>
        </w:rPr>
        <w:t>Understanding strong academic microcultures - An exploratory study</w:t>
      </w:r>
      <w:r w:rsidRPr="00294508">
        <w:rPr>
          <w:rFonts w:ascii="Calibri" w:hAnsi="Calibri"/>
        </w:rPr>
        <w:t>. University of Lund.</w:t>
      </w:r>
    </w:p>
    <w:p w:rsidR="00294508" w:rsidRPr="00294508" w:rsidRDefault="00294508" w:rsidP="00294508">
      <w:pPr>
        <w:pStyle w:val="Bibliography"/>
        <w:rPr>
          <w:rFonts w:ascii="Calibri" w:hAnsi="Calibri"/>
        </w:rPr>
      </w:pPr>
      <w:r w:rsidRPr="00294508">
        <w:rPr>
          <w:rFonts w:ascii="Calibri" w:hAnsi="Calibri"/>
        </w:rPr>
        <w:t xml:space="preserve">Roxå, T., Olsson, T., &amp; Mårtensson, K. (2007). Scholarship of Teaching and Learning as a strategy for institutional change. In </w:t>
      </w:r>
      <w:r w:rsidRPr="00294508">
        <w:rPr>
          <w:rFonts w:ascii="Calibri" w:hAnsi="Calibri"/>
          <w:i/>
          <w:iCs/>
        </w:rPr>
        <w:t>Proceedings of the 30th HERDSA Annual Conference</w:t>
      </w:r>
      <w:r w:rsidRPr="00294508">
        <w:rPr>
          <w:rFonts w:ascii="Calibri" w:hAnsi="Calibri"/>
        </w:rPr>
        <w:t xml:space="preserve"> (pp. 487–494). Adelaide, South Australia: Higher Education Research and Development Society of Australasia, Inc.</w:t>
      </w:r>
    </w:p>
    <w:p w:rsidR="00294508" w:rsidRPr="00294508" w:rsidRDefault="00294508" w:rsidP="00294508">
      <w:pPr>
        <w:pStyle w:val="Bibliography"/>
        <w:rPr>
          <w:rFonts w:ascii="Calibri" w:hAnsi="Calibri"/>
        </w:rPr>
      </w:pPr>
      <w:r w:rsidRPr="00294508">
        <w:rPr>
          <w:rFonts w:ascii="Calibri" w:hAnsi="Calibri"/>
        </w:rPr>
        <w:t>The National Student Survey. (n.d.). Retrieved from http://www.thestudentsurvey.com/</w:t>
      </w:r>
    </w:p>
    <w:p w:rsidR="00294508" w:rsidRPr="00294508" w:rsidRDefault="00294508" w:rsidP="00294508">
      <w:pPr>
        <w:pStyle w:val="Bibliography"/>
        <w:rPr>
          <w:rFonts w:ascii="Calibri" w:hAnsi="Calibri"/>
        </w:rPr>
      </w:pPr>
      <w:r w:rsidRPr="00294508">
        <w:rPr>
          <w:rFonts w:ascii="Calibri" w:hAnsi="Calibri"/>
        </w:rPr>
        <w:t xml:space="preserve">Vygotsky, L. S. (1934). </w:t>
      </w:r>
      <w:r w:rsidRPr="00294508">
        <w:rPr>
          <w:rFonts w:ascii="Calibri" w:hAnsi="Calibri"/>
          <w:i/>
          <w:iCs/>
        </w:rPr>
        <w:t>Thought and Language</w:t>
      </w:r>
      <w:r w:rsidRPr="00294508">
        <w:rPr>
          <w:rFonts w:ascii="Calibri" w:hAnsi="Calibri"/>
        </w:rPr>
        <w:t>. Cambridge, MA.: MIT Press.</w:t>
      </w:r>
    </w:p>
    <w:p w:rsidR="00294508" w:rsidRPr="00294508" w:rsidRDefault="00294508" w:rsidP="00294508">
      <w:pPr>
        <w:pStyle w:val="Bibliography"/>
        <w:rPr>
          <w:rFonts w:ascii="Calibri" w:hAnsi="Calibri"/>
        </w:rPr>
      </w:pPr>
      <w:r w:rsidRPr="00294508">
        <w:rPr>
          <w:rFonts w:ascii="Calibri" w:hAnsi="Calibri"/>
        </w:rPr>
        <w:lastRenderedPageBreak/>
        <w:t xml:space="preserve">Wenger, E. (1998). </w:t>
      </w:r>
      <w:r w:rsidRPr="00294508">
        <w:rPr>
          <w:rFonts w:ascii="Calibri" w:hAnsi="Calibri"/>
          <w:i/>
          <w:iCs/>
        </w:rPr>
        <w:t>Communities of Practice: Learning, Meaning and Identity</w:t>
      </w:r>
      <w:r w:rsidRPr="00294508">
        <w:rPr>
          <w:rFonts w:ascii="Calibri" w:hAnsi="Calibri"/>
        </w:rPr>
        <w:t>. Cambridge University Press.</w:t>
      </w:r>
    </w:p>
    <w:p w:rsidR="000549F1" w:rsidRPr="00294508" w:rsidRDefault="00294508">
      <w:pPr>
        <w:rPr>
          <w:b/>
        </w:rPr>
      </w:pPr>
      <w:r>
        <w:rPr>
          <w:b/>
        </w:rPr>
        <w:fldChar w:fldCharType="end"/>
      </w:r>
    </w:p>
    <w:sectPr w:rsidR="000549F1" w:rsidRPr="00294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88"/>
    <w:rsid w:val="000549F1"/>
    <w:rsid w:val="000D73A3"/>
    <w:rsid w:val="000F47FB"/>
    <w:rsid w:val="000F67D7"/>
    <w:rsid w:val="00111D3F"/>
    <w:rsid w:val="001143A2"/>
    <w:rsid w:val="00133B98"/>
    <w:rsid w:val="00156065"/>
    <w:rsid w:val="00195810"/>
    <w:rsid w:val="001A4FF6"/>
    <w:rsid w:val="001E710A"/>
    <w:rsid w:val="00237A5D"/>
    <w:rsid w:val="00251697"/>
    <w:rsid w:val="002940F6"/>
    <w:rsid w:val="00294508"/>
    <w:rsid w:val="002B4BFC"/>
    <w:rsid w:val="002D2B5E"/>
    <w:rsid w:val="002E767C"/>
    <w:rsid w:val="00323684"/>
    <w:rsid w:val="00332005"/>
    <w:rsid w:val="003568DC"/>
    <w:rsid w:val="0041188D"/>
    <w:rsid w:val="00434982"/>
    <w:rsid w:val="004951B4"/>
    <w:rsid w:val="004B4D59"/>
    <w:rsid w:val="004B7F2B"/>
    <w:rsid w:val="004E3B4E"/>
    <w:rsid w:val="00576F65"/>
    <w:rsid w:val="005C2E88"/>
    <w:rsid w:val="005F77B5"/>
    <w:rsid w:val="0062720D"/>
    <w:rsid w:val="006A2E7C"/>
    <w:rsid w:val="006D7D3A"/>
    <w:rsid w:val="008318BC"/>
    <w:rsid w:val="00841A94"/>
    <w:rsid w:val="00841C66"/>
    <w:rsid w:val="00854F17"/>
    <w:rsid w:val="00857EE0"/>
    <w:rsid w:val="00875C43"/>
    <w:rsid w:val="00A277C7"/>
    <w:rsid w:val="00A402C2"/>
    <w:rsid w:val="00B53C8A"/>
    <w:rsid w:val="00B541E5"/>
    <w:rsid w:val="00B864E5"/>
    <w:rsid w:val="00BA2906"/>
    <w:rsid w:val="00BA2F4B"/>
    <w:rsid w:val="00C3174B"/>
    <w:rsid w:val="00CD1675"/>
    <w:rsid w:val="00CF090B"/>
    <w:rsid w:val="00CF42EC"/>
    <w:rsid w:val="00D018B5"/>
    <w:rsid w:val="00D549F2"/>
    <w:rsid w:val="00D67DCC"/>
    <w:rsid w:val="00D87FBF"/>
    <w:rsid w:val="00DC54CC"/>
    <w:rsid w:val="00DD2114"/>
    <w:rsid w:val="00E0505A"/>
    <w:rsid w:val="00E306B4"/>
    <w:rsid w:val="00EC1FE2"/>
    <w:rsid w:val="00EE766E"/>
    <w:rsid w:val="00F11F63"/>
    <w:rsid w:val="00FC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E67FC-C3EA-40BA-85E5-565FA623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294508"/>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505803">
      <w:bodyDiv w:val="1"/>
      <w:marLeft w:val="0"/>
      <w:marRight w:val="0"/>
      <w:marTop w:val="0"/>
      <w:marBottom w:val="0"/>
      <w:divBdr>
        <w:top w:val="none" w:sz="0" w:space="0" w:color="auto"/>
        <w:left w:val="none" w:sz="0" w:space="0" w:color="auto"/>
        <w:bottom w:val="none" w:sz="0" w:space="0" w:color="auto"/>
        <w:right w:val="none" w:sz="0" w:space="0" w:color="auto"/>
      </w:divBdr>
      <w:divsChild>
        <w:div w:id="1272663107">
          <w:marLeft w:val="0"/>
          <w:marRight w:val="0"/>
          <w:marTop w:val="0"/>
          <w:marBottom w:val="0"/>
          <w:divBdr>
            <w:top w:val="none" w:sz="0" w:space="0" w:color="auto"/>
            <w:left w:val="none" w:sz="0" w:space="0" w:color="auto"/>
            <w:bottom w:val="none" w:sz="0" w:space="0" w:color="auto"/>
            <w:right w:val="none" w:sz="0" w:space="0" w:color="auto"/>
          </w:divBdr>
        </w:div>
        <w:div w:id="1254970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4865</Words>
  <Characters>27735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Tierney</dc:creator>
  <cp:keywords/>
  <dc:description/>
  <cp:lastModifiedBy>Tierney, Anne</cp:lastModifiedBy>
  <cp:revision>2</cp:revision>
  <dcterms:created xsi:type="dcterms:W3CDTF">2016-03-08T11:17:00Z</dcterms:created>
  <dcterms:modified xsi:type="dcterms:W3CDTF">2016-03-08T11:17:00Z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zotero-version="4.0.28.10"&gt;&lt;session id="5eYjMJc9"/&gt;&lt;style id="http://www.zotero.org/styles/apa" locale="en-GB"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y fmtid="{D5CDD505-2E9C-101B-9397-08002B2CF9AE}" pid="4" name="StyleId">
    <vt:lpwstr>http://www.zotero.org/styles/vancouver</vt:lpwstr>
  </property>
</Properties>
</file>