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66" w:rsidRPr="007020AA" w:rsidRDefault="0033453E">
      <w:pPr>
        <w:rPr>
          <w:b/>
          <w:sz w:val="28"/>
          <w:szCs w:val="28"/>
        </w:rPr>
      </w:pPr>
      <w:r>
        <w:t xml:space="preserve">                                                                                                                                                                                                                                                                                                                                                                                                                                                                                                                                                                                                                                                                                                                                                                                                                                                                                                                                                                                                                                                                                                                                                                                                                                                                                                                                                                                                                                                                                                                                                                                                                                                                                                                                                                                                                                                                                                                                                                                                                                                                                                                                                                                                                                                                                                                                                                                                                                                                                                                                                                                                                                                                                                                                                                                                                                                                                                        </w:t>
      </w:r>
      <w:r w:rsidR="00143B39" w:rsidRPr="007020AA">
        <w:rPr>
          <w:b/>
          <w:sz w:val="28"/>
          <w:szCs w:val="28"/>
        </w:rPr>
        <w:t>Threshol</w:t>
      </w:r>
      <w:r w:rsidR="00143B39">
        <w:rPr>
          <w:b/>
          <w:sz w:val="28"/>
          <w:szCs w:val="28"/>
        </w:rPr>
        <w:t>d Concepts in Academic Practice</w:t>
      </w:r>
      <w:r w:rsidR="00143B39">
        <w:rPr>
          <w:b/>
          <w:sz w:val="28"/>
          <w:szCs w:val="28"/>
        </w:rPr>
        <w:t xml:space="preserve">: Engagement </w:t>
      </w:r>
      <w:r w:rsidR="0094287E" w:rsidRPr="007020AA">
        <w:rPr>
          <w:b/>
          <w:sz w:val="28"/>
          <w:szCs w:val="28"/>
        </w:rPr>
        <w:t>with the Schola</w:t>
      </w:r>
      <w:r w:rsidR="00143B39">
        <w:rPr>
          <w:b/>
          <w:sz w:val="28"/>
          <w:szCs w:val="28"/>
        </w:rPr>
        <w:t>rship of Teaching and Learning</w:t>
      </w:r>
    </w:p>
    <w:p w:rsidR="0094287E" w:rsidRDefault="0094287E">
      <w:r>
        <w:t>Anne Tierney, University of Durham</w:t>
      </w:r>
    </w:p>
    <w:p w:rsidR="0094287E" w:rsidRDefault="0094287E"/>
    <w:p w:rsidR="002B0A09" w:rsidRPr="007020AA" w:rsidRDefault="00143B39">
      <w:pPr>
        <w:rPr>
          <w:b/>
          <w:sz w:val="24"/>
          <w:szCs w:val="24"/>
        </w:rPr>
      </w:pPr>
      <w:r>
        <w:rPr>
          <w:b/>
          <w:sz w:val="24"/>
          <w:szCs w:val="24"/>
        </w:rPr>
        <w:t>Introduction</w:t>
      </w:r>
    </w:p>
    <w:p w:rsidR="00432503" w:rsidRDefault="00143B39" w:rsidP="00E64862">
      <w:pPr>
        <w:spacing w:line="480" w:lineRule="auto"/>
      </w:pPr>
      <w:r>
        <w:t>This paper is an overview of e</w:t>
      </w:r>
      <w:r w:rsidR="0094287E">
        <w:t>ngagement with the Scholarship of Teaching and Learning (SoTL)</w:t>
      </w:r>
      <w:r>
        <w:t xml:space="preserve"> in the context of Life Sciences. SoTL</w:t>
      </w:r>
      <w:r w:rsidR="0094287E">
        <w:t xml:space="preserve"> is increasingly becoming a requirement for UK academics</w:t>
      </w:r>
      <w:r>
        <w:t>, and includes a range of activities such as</w:t>
      </w:r>
      <w:r w:rsidR="0009226D">
        <w:t xml:space="preserve"> reflection on practice </w:t>
      </w:r>
      <w:r w:rsidR="0009226D">
        <w:fldChar w:fldCharType="begin"/>
      </w:r>
      <w:r w:rsidR="0009226D">
        <w:instrText xml:space="preserve"> ADDIN ZOTERO_ITEM CSL_CITATION {"citationID":"22non8f2gf","properties":{"formattedCitation":"(Kreber, 2005; Kreber &amp; Castleden, 2009)","plainCitation":"(Kreber, 2005; Kreber &amp; Castleden, 2009)"},"citationItems":[{"id":156,"uris":["http://zotero.org/users/386570/items/I7RZHVQM"],"uri":["http://zotero.org/users/386570/items/I7RZHVQM"],"itemData":{"id":156,"type":"article-journal","title":"Reflection on teaching and the scholarship of teaching: Focus on science instructors","container-title":"Higher Education","page":"323-359","volume":"50","author":[{"family":"Kreber","given":"Carolin"}],"issued":{"date-parts":[["2005"]]}},"label":"page"},{"id":190,"uris":["http://zotero.org/users/386570/items/N745EHWP"],"uri":["http://zotero.org/users/386570/items/N745EHWP"],"itemData":{"id":190,"type":"article-journal","title":"Reflection on teaching and epistemological structure: reflective and critically reflective processes in ‘pure/soft’ and ‘pure/hard’ fields","container-title":"Higher Education","page":"509-531","volume":"57","issue":"4","source":"EBSCOhost","abstract":"We empirically explored whether academics from pure/soft and pure/hard fields engage in reflective practice on teaching differently and, if so, whether these differences could be partially explained by the epistemological structure of their discipline. Interview data from academics in pure/hard ( N = 30) and pure/soft fields ( N = 10) were deductively analyzed according to different types and domains of reflection as well as the nature of learning underlying these reflections. The greatest differences between the two groups were found with respect to reflection on core beliefs as well as within the domain of educational goals and purposes, both being more common in soft fields. Soft and hard fields engaged in instrumental, communicative as well as emancipatory learning about teaching but to different degrees. We propose that teaching expertise requires a disposition to engage in reflection on core beliefs, particularly but not exclusively within the domain of goals and purposes, the latter involving both communicative and emancipatory learning. The theoretical and practical implications of the study are discussed. [ABSTRACT FROM AUTHOR]\nCopyright of Higher Education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Abstracts.)","DOI":"10.1007/s10734-008-9158-9","ISSN":"00181560","call-number":"36593791","shortTitle":"Reflection on teaching and epistemological structure","author":[{"family":"Kreber","given":"Carolin"},{"family":"Castleden","given":"Heather"}],"issued":{"date-parts":[["2009",4]]}},"label":"page"}],"schema":"https://github.com/citation-style-language/schema/raw/master/csl-citation.json"} </w:instrText>
      </w:r>
      <w:r w:rsidR="0009226D">
        <w:fldChar w:fldCharType="separate"/>
      </w:r>
      <w:r w:rsidR="0009226D" w:rsidRPr="0009226D">
        <w:rPr>
          <w:rFonts w:ascii="Calibri" w:hAnsi="Calibri"/>
        </w:rPr>
        <w:t>(</w:t>
      </w:r>
      <w:proofErr w:type="spellStart"/>
      <w:r w:rsidR="0009226D" w:rsidRPr="0009226D">
        <w:rPr>
          <w:rFonts w:ascii="Calibri" w:hAnsi="Calibri"/>
        </w:rPr>
        <w:t>Kreber</w:t>
      </w:r>
      <w:proofErr w:type="spellEnd"/>
      <w:r w:rsidR="0009226D" w:rsidRPr="0009226D">
        <w:rPr>
          <w:rFonts w:ascii="Calibri" w:hAnsi="Calibri"/>
        </w:rPr>
        <w:t xml:space="preserve">, 2005; </w:t>
      </w:r>
      <w:proofErr w:type="spellStart"/>
      <w:r w:rsidR="0009226D" w:rsidRPr="0009226D">
        <w:rPr>
          <w:rFonts w:ascii="Calibri" w:hAnsi="Calibri"/>
        </w:rPr>
        <w:t>Kreber</w:t>
      </w:r>
      <w:proofErr w:type="spellEnd"/>
      <w:r w:rsidR="0009226D" w:rsidRPr="0009226D">
        <w:rPr>
          <w:rFonts w:ascii="Calibri" w:hAnsi="Calibri"/>
        </w:rPr>
        <w:t xml:space="preserve"> &amp; </w:t>
      </w:r>
      <w:proofErr w:type="spellStart"/>
      <w:r w:rsidR="0009226D" w:rsidRPr="0009226D">
        <w:rPr>
          <w:rFonts w:ascii="Calibri" w:hAnsi="Calibri"/>
        </w:rPr>
        <w:t>Castleden</w:t>
      </w:r>
      <w:proofErr w:type="spellEnd"/>
      <w:r w:rsidR="0009226D" w:rsidRPr="0009226D">
        <w:rPr>
          <w:rFonts w:ascii="Calibri" w:hAnsi="Calibri"/>
        </w:rPr>
        <w:t>, 2009)</w:t>
      </w:r>
      <w:r w:rsidR="0009226D">
        <w:fldChar w:fldCharType="end"/>
      </w:r>
      <w:r>
        <w:t xml:space="preserve"> </w:t>
      </w:r>
      <w:r w:rsidR="0009226D">
        <w:t xml:space="preserve">systematic study of learning and teaching through </w:t>
      </w:r>
      <w:r>
        <w:t>practition</w:t>
      </w:r>
      <w:r w:rsidR="00D57BBA">
        <w:t>er research</w:t>
      </w:r>
      <w:r w:rsidR="0009226D">
        <w:t xml:space="preserve"> </w:t>
      </w:r>
      <w:r w:rsidR="0071402A">
        <w:fldChar w:fldCharType="begin"/>
      </w:r>
      <w:r w:rsidR="0071402A">
        <w:instrText xml:space="preserve"> ADDIN ZOTERO_ITEM CSL_CITATION {"citationID":"2acs08b15i","properties":{"formattedCitation":"(Allen &amp; Field, 2005)","plainCitation":"(Allen &amp; Field, 2005)"},"citationItems":[{"id":462,"uris":["http://zotero.org/users/386570/items/8HKMCI9F"],"uri":["http://zotero.org/users/386570/items/8HKMCI9F"],"itemData":{"id":462,"type":"article-journal","title":"Scholarly Teaching and Scholarship of Teaching: Noting the Difference","container-title":"International Journal of Nursing Education Scholarship","volume":"2","issue":"1","abstract":"Scholarly teaching and the scholarship of teaching are being discussed more frequently in the nursing education literature, yet a clear distinction between the two is often not made. In this paper we will identify the differences between the two and the role each plays in faculty evaluation. We argue that all faculty members should be scholarly teachers but not all will or should engage in the scholarship of teaching.","URL":"http://www.degruyter.com/view/j/ijnes.2005.2.1/ijnes.2005.2.1.1094/ijnes.2005.2.1.1094.xml","shortTitle":"Scholarly Teaching and Scholarship of Teaching","author":[{"family":"Allen","given":"Marion N"},{"family":"Field","given":"Peggy Anne"}],"issued":{"date-parts":[["2005"]]},"accessed":{"date-parts":[["2014",11,1]]}}}],"schema":"https://github.com/citation-style-language/schema/raw/master/csl-citation.json"} </w:instrText>
      </w:r>
      <w:r w:rsidR="0071402A">
        <w:fldChar w:fldCharType="separate"/>
      </w:r>
      <w:r w:rsidR="0071402A" w:rsidRPr="0071402A">
        <w:rPr>
          <w:rFonts w:ascii="Calibri" w:hAnsi="Calibri"/>
        </w:rPr>
        <w:t>(Allen &amp; Field, 2005)</w:t>
      </w:r>
      <w:r w:rsidR="0071402A">
        <w:fldChar w:fldCharType="end"/>
      </w:r>
      <w:r w:rsidR="0071402A">
        <w:t xml:space="preserve">, </w:t>
      </w:r>
      <w:r w:rsidR="00D57BBA">
        <w:t>and disse</w:t>
      </w:r>
      <w:r w:rsidR="0071402A">
        <w:t>mination of results</w:t>
      </w:r>
      <w:r w:rsidR="00D32B72">
        <w:t xml:space="preserve"> among the wider community</w:t>
      </w:r>
      <w:r w:rsidR="0071402A">
        <w:t xml:space="preserve"> </w:t>
      </w:r>
      <w:r w:rsidR="00D32B72">
        <w:fldChar w:fldCharType="begin"/>
      </w:r>
      <w:r w:rsidR="00D32B72">
        <w:instrText xml:space="preserve"> ADDIN ZOTERO_ITEM CSL_CITATION {"citationID":"1mvngq24d1","properties":{"formattedCitation":"(Hutchings &amp; Shulman, 1999)","plainCitation":"(Hutchings &amp; Shulman, 1999)"},"citationItems":[{"id":113,"uris":["http://zotero.org/users/386570/items/D56CQJZA"],"uri":["http://zotero.org/users/386570/items/D56CQJZA"],"itemData":{"id":113,"type":"article-journal","title":"The Scholarship of Teaching: New Elaborations, New Developments.","container-title":"Change","page":"10-15","volume":"31","issue":"5","author":[{"family":"Hutchings","given":"Pat"},{"family":"Shulman","given":"L. E."}],"issued":{"date-parts":[["1999"]]}}}],"schema":"https://github.com/citation-style-language/schema/raw/master/csl-citation.json"} </w:instrText>
      </w:r>
      <w:r w:rsidR="00D32B72">
        <w:fldChar w:fldCharType="separate"/>
      </w:r>
      <w:r w:rsidR="00D32B72" w:rsidRPr="00D32B72">
        <w:rPr>
          <w:rFonts w:ascii="Calibri" w:hAnsi="Calibri"/>
        </w:rPr>
        <w:t>(Hutchings &amp; Shulman, 1999)</w:t>
      </w:r>
      <w:r w:rsidR="00D32B72">
        <w:fldChar w:fldCharType="end"/>
      </w:r>
      <w:r w:rsidR="00D32B72">
        <w:t>. E</w:t>
      </w:r>
      <w:r w:rsidR="0094287E">
        <w:t xml:space="preserve">ngagement </w:t>
      </w:r>
      <w:r w:rsidR="00D32B72">
        <w:t xml:space="preserve">with SoTL </w:t>
      </w:r>
      <w:r w:rsidR="0094287E">
        <w:t>may</w:t>
      </w:r>
      <w:r w:rsidR="00D32B72">
        <w:t xml:space="preserve"> also</w:t>
      </w:r>
      <w:r w:rsidR="0094287E">
        <w:t xml:space="preserve"> take the form of a formal qualification in teaching in higher education, or may be a continuing professional development</w:t>
      </w:r>
      <w:r w:rsidR="00D32B72">
        <w:t xml:space="preserve"> (CPD)</w:t>
      </w:r>
      <w:r w:rsidR="0094287E">
        <w:t xml:space="preserve"> requirement, notably for the increasing numbers of “Teaching-only” academics employed by UK institutions to cover undergraduate teaching and course administration.</w:t>
      </w:r>
      <w:r w:rsidR="006536F5">
        <w:t xml:space="preserve"> However, </w:t>
      </w:r>
      <w:r w:rsidR="0094287E">
        <w:t>engage</w:t>
      </w:r>
      <w:r w:rsidR="006536F5">
        <w:t>ment</w:t>
      </w:r>
      <w:r w:rsidR="0094287E">
        <w:t xml:space="preserve"> with SoTL may be confusing, and present a number of challenges, in addition to those already present in the career of an academic. For Life Scientists in particular, engagement with SoTL may offer </w:t>
      </w:r>
      <w:r w:rsidR="005E0DA7">
        <w:t xml:space="preserve">particular </w:t>
      </w:r>
      <w:r w:rsidR="0094287E">
        <w:t xml:space="preserve">challenges as individuals tackle material </w:t>
      </w:r>
      <w:proofErr w:type="spellStart"/>
      <w:r w:rsidR="0094287E">
        <w:t>outwith</w:t>
      </w:r>
      <w:proofErr w:type="spellEnd"/>
      <w:r w:rsidR="0094287E">
        <w:t xml:space="preserve"> their disciplinary expertise.</w:t>
      </w:r>
      <w:r w:rsidR="00345A37">
        <w:t xml:space="preserve"> Language, research methodology, confidence in data gathering,</w:t>
      </w:r>
      <w:r w:rsidR="00501D5F">
        <w:t xml:space="preserve"> sense of </w:t>
      </w:r>
      <w:r w:rsidR="009C1F6B">
        <w:t>identity</w:t>
      </w:r>
      <w:r w:rsidR="00501D5F">
        <w:t>,</w:t>
      </w:r>
      <w:r w:rsidR="00345A37">
        <w:t xml:space="preserve"> may</w:t>
      </w:r>
      <w:r w:rsidR="009F0A8C">
        <w:t xml:space="preserve"> present barriers to engagement</w:t>
      </w:r>
      <w:r w:rsidR="00345A37">
        <w:t xml:space="preserve"> with SoTL, to academics who are more c</w:t>
      </w:r>
      <w:r w:rsidR="00D57BBA">
        <w:t>omfortable within a positivist</w:t>
      </w:r>
      <w:r w:rsidR="00345A37">
        <w:t>, quantitative paradigm.</w:t>
      </w:r>
      <w:r w:rsidR="005E0DA7">
        <w:t xml:space="preserve"> While Threshold Concepts</w:t>
      </w:r>
      <w:r w:rsidR="00432503">
        <w:t xml:space="preserve"> </w:t>
      </w:r>
      <w:r w:rsidR="00432503">
        <w:fldChar w:fldCharType="begin"/>
      </w:r>
      <w:r w:rsidR="0009226D">
        <w:instrText xml:space="preserve"> ADDIN ZOTERO_ITEM CSL_CITATION {"citationID":"LZgRuCwb","properties":{"formattedCitation":"(Meyer &amp; Land, 2003)","plainCitation":"(Meyer &amp; Land, 2003)"},"citationItems":[{"id":14,"uris":["http://zotero.org/users/386570/items/2SHX6QDS"],"uri":["http://zotero.org/users/386570/items/2SHX6QDS"],"itemData":{"id":14,"type":"chapter","title":"Threshold concepts and troublesome knowledge: linkages to ways of thinking and practising within the disciplines","container-title":"Improving student learning: Improving student learning theory and practice - Ten Years On.","publisher":"Oxford Centre for Staff and Learning Development","publisher-place":"Oxford","edition":"Rust, C. (Ed)","event-place":"Oxford","author":[{"family":"Meyer","given":"Jan H. F."},{"family":"Land","given":"Ray"}],"issued":{"date-parts":[["2003"]]}}}],"schema":"https://github.com/citation-style-language/schema/raw/master/csl-citation.json"} </w:instrText>
      </w:r>
      <w:r w:rsidR="00432503">
        <w:fldChar w:fldCharType="separate"/>
      </w:r>
      <w:r w:rsidR="00432503" w:rsidRPr="00432503">
        <w:rPr>
          <w:rFonts w:ascii="Calibri" w:hAnsi="Calibri" w:cs="Calibri"/>
        </w:rPr>
        <w:t>(Meyer &amp; Land, 2003)</w:t>
      </w:r>
      <w:r w:rsidR="00432503">
        <w:fldChar w:fldCharType="end"/>
      </w:r>
      <w:r w:rsidR="005E0DA7">
        <w:t xml:space="preserve"> are generally associated with student learning</w:t>
      </w:r>
      <w:r w:rsidR="00444628">
        <w:t xml:space="preserve"> within the discipline</w:t>
      </w:r>
      <w:r w:rsidR="00432503">
        <w:t>, if we look on engagement with So</w:t>
      </w:r>
      <w:r w:rsidR="00D57BBA">
        <w:t>TL and CPD as lifelong l</w:t>
      </w:r>
      <w:r w:rsidR="005E0DA7">
        <w:t>earning, and the academic as student, we can explore how academics face the challenges of engagement with t</w:t>
      </w:r>
      <w:r w:rsidR="00D57BBA">
        <w:t>he field of SoTL and Pedagogical Research (</w:t>
      </w:r>
      <w:proofErr w:type="spellStart"/>
      <w:r w:rsidR="00D57BBA">
        <w:t>Ped</w:t>
      </w:r>
      <w:proofErr w:type="spellEnd"/>
      <w:r w:rsidR="00D57BBA">
        <w:t>-R)</w:t>
      </w:r>
      <w:r w:rsidR="005E0DA7">
        <w:t>.</w:t>
      </w:r>
      <w:r w:rsidR="001C66E0">
        <w:t xml:space="preserve"> Indeed, for academics considered to be expert in their field, taking on the role of student may be troublesome in itself, with the individual being required to acknowledge their lack of expertise in the area of educational research. </w:t>
      </w:r>
    </w:p>
    <w:p w:rsidR="001C66E0" w:rsidRDefault="005E0DA7" w:rsidP="00432503">
      <w:pPr>
        <w:spacing w:line="480" w:lineRule="auto"/>
      </w:pPr>
      <w:r>
        <w:lastRenderedPageBreak/>
        <w:t xml:space="preserve">Taking a mixed methods approach of initial questionnaire and </w:t>
      </w:r>
      <w:r w:rsidR="00E700AA">
        <w:t>subsequent interview</w:t>
      </w:r>
      <w:r w:rsidR="00D57BBA">
        <w:t>s</w:t>
      </w:r>
      <w:r w:rsidR="00E700AA">
        <w:t>,</w:t>
      </w:r>
      <w:r w:rsidR="00444628">
        <w:t xml:space="preserve"> UK Life Science academics</w:t>
      </w:r>
      <w:r w:rsidR="00E700AA">
        <w:t xml:space="preserve"> were asked about their understanding of, and engagement with SoTL. </w:t>
      </w:r>
      <w:r w:rsidR="00C61235">
        <w:t>The questionnaire and interviews revealed a range of attitudes towards engagement with SoTL</w:t>
      </w:r>
      <w:r w:rsidR="000B0F04">
        <w:t>, and a number of areas which could be considered to be Threshold Concepts.</w:t>
      </w:r>
      <w:r w:rsidR="009C1F6B">
        <w:t xml:space="preserve"> These areas of interest, and the extent to </w:t>
      </w:r>
      <w:r w:rsidR="00E64862">
        <w:t xml:space="preserve">which they fulfil the criteria to become </w:t>
      </w:r>
      <w:r w:rsidR="009C1F6B">
        <w:t>Th</w:t>
      </w:r>
      <w:r w:rsidR="006D2CC2">
        <w:t>reshold Co</w:t>
      </w:r>
      <w:r w:rsidR="001C66E0">
        <w:t>ncepts is explored in this study.</w:t>
      </w:r>
      <w:r w:rsidR="006D2CC2">
        <w:t xml:space="preserve"> The findings are significant in that they indicate the difficulties and challenges faced by academics attem</w:t>
      </w:r>
      <w:r w:rsidR="00E64862">
        <w:t>pting to engage with a paradigm</w:t>
      </w:r>
      <w:r w:rsidR="006D2CC2">
        <w:t xml:space="preserve"> </w:t>
      </w:r>
      <w:proofErr w:type="spellStart"/>
      <w:r w:rsidR="006D2CC2">
        <w:t>outwith</w:t>
      </w:r>
      <w:proofErr w:type="spellEnd"/>
      <w:r w:rsidR="006D2CC2">
        <w:t xml:space="preserve"> their disciplinary expertise, the effort expended in successf</w:t>
      </w:r>
      <w:r w:rsidR="00444628">
        <w:t xml:space="preserve">ul engagement, and the </w:t>
      </w:r>
      <w:r w:rsidR="001C66E0">
        <w:t xml:space="preserve"> transformations that occur</w:t>
      </w:r>
      <w:r w:rsidR="00432503">
        <w:t xml:space="preserve">, </w:t>
      </w:r>
      <w:r w:rsidR="00901B12">
        <w:t>showing the development of</w:t>
      </w:r>
      <w:r w:rsidR="00432503">
        <w:t xml:space="preserve"> engagement by reading literature, to actively carrying out research projects and writing papers</w:t>
      </w:r>
      <w:r w:rsidR="00901B12">
        <w:t>, in comp</w:t>
      </w:r>
      <w:r w:rsidR="00D57BBA">
        <w:t xml:space="preserve">arison to the findings of </w:t>
      </w:r>
      <w:proofErr w:type="spellStart"/>
      <w:r w:rsidR="00D57BBA">
        <w:t>Vajoczki</w:t>
      </w:r>
      <w:proofErr w:type="spellEnd"/>
      <w:r w:rsidR="00901B12">
        <w:t xml:space="preserve"> et al </w:t>
      </w:r>
      <w:r w:rsidR="00901B12">
        <w:fldChar w:fldCharType="begin"/>
      </w:r>
      <w:r w:rsidR="0009226D">
        <w:instrText xml:space="preserve"> ADDIN ZOTERO_ITEM CSL_CITATION {"citationID":"2gur9ijlrn","properties":{"formattedCitation":"(2011)","plainCitation":"(2011)"},"citationItems":[{"id":263,"uris":["http://zotero.org/users/386570/items/W7NQAUE7"],"uri":["http://zotero.org/users/386570/items/W7NQAUE7"],"itemData":{"id":263,"type":"article-journal","title":"Good Teachers, Scholarly Teachers and Teachers Engaged in Scholarship of Teaching and Learning: A Case Study from McMaster University, Hamilton, Canada","container-title":"The Canadian Journal for the Scholarship of Teaching and Learning","volume":"2","issue":"1","URL":"http://ir.lib.uwo.ca/cjsotl_rcacea/vol2/iss1/2","DOI":"http://dx.doi.org/10.5206/cjsotl-rcacea.2011.1.2","shortTitle":"Good Teachers, Scholarly Teachers and Teachers Engaged in Scholarship of Teaching and Learning","author":[{"family":"Vajoczki","given":"Susan"},{"family":"Savage","given":"Philip"},{"family":"Martin","given":"Lynn"},{"family":"Borin","given":"Paola"},{"family":"Kustra","given":"Erika"}],"issued":{"date-parts":[["2011",9,7]]}},"suppress-author":true}],"schema":"https://github.com/citation-style-language/schema/raw/master/csl-citation.json"} </w:instrText>
      </w:r>
      <w:r w:rsidR="00901B12">
        <w:fldChar w:fldCharType="separate"/>
      </w:r>
      <w:r w:rsidR="00901B12" w:rsidRPr="00901B12">
        <w:rPr>
          <w:rFonts w:ascii="Calibri" w:hAnsi="Calibri" w:cs="Calibri"/>
        </w:rPr>
        <w:t>(2011)</w:t>
      </w:r>
      <w:r w:rsidR="00901B12">
        <w:fldChar w:fldCharType="end"/>
      </w:r>
      <w:r w:rsidR="0009226D">
        <w:t xml:space="preserve"> who found a relationship between good teaching, scholarly teaching and the scholarship of teaching and learning</w:t>
      </w:r>
      <w:r w:rsidR="001C66E0">
        <w:t xml:space="preserve">. </w:t>
      </w:r>
      <w:r w:rsidR="0056191B">
        <w:t xml:space="preserve">In terms of Threshold Concepts, those found in this study agree with Threshold Concepts uncovered by Webb </w:t>
      </w:r>
      <w:r w:rsidR="0056191B">
        <w:fldChar w:fldCharType="begin"/>
      </w:r>
      <w:r w:rsidR="0056191B">
        <w:instrText xml:space="preserve"> ADDIN ZOTERO_ITEM CSL_CITATION {"citationID":"1jsb4ocqo9","properties":{"formattedCitation":"(2014)","plainCitation":"(2014)"},"citationItems":[{"id":464,"uris":["http://zotero.org/users/386570/items/9D5NZAR9"],"uri":["http://zotero.org/users/386570/items/9D5NZAR9"],"itemData":{"id":464,"type":"paper-conference","title":"Threshold Concepts and the Scholarship of Teaching and Learning","publisher-place":"Durham University","event":"Threshold Concepts in Practice","event-place":"Durham University","author":[{"family":"Webb","given":"Andrea"}],"issued":{"date-parts":[["2014"]]}},"suppress-author":true}],"schema":"https://github.com/citation-style-language/schema/raw/master/csl-citation.json"} </w:instrText>
      </w:r>
      <w:r w:rsidR="0056191B">
        <w:fldChar w:fldCharType="separate"/>
      </w:r>
      <w:r w:rsidR="0056191B" w:rsidRPr="0056191B">
        <w:rPr>
          <w:rFonts w:ascii="Calibri" w:hAnsi="Calibri"/>
        </w:rPr>
        <w:t>(2014)</w:t>
      </w:r>
      <w:r w:rsidR="0056191B">
        <w:fldChar w:fldCharType="end"/>
      </w:r>
      <w:r w:rsidR="0056191B">
        <w:t xml:space="preserve"> in her study of mid-career academics engaging in a Faculty SoTL Leadership Certificate course. </w:t>
      </w:r>
      <w:r w:rsidR="001C66E0">
        <w:t xml:space="preserve">The study also points towards </w:t>
      </w:r>
      <w:r w:rsidR="00432503">
        <w:t xml:space="preserve">areas where support </w:t>
      </w:r>
      <w:r w:rsidR="001C66E0">
        <w:t>can be give</w:t>
      </w:r>
      <w:r w:rsidR="00432503">
        <w:t>n to academics engaging in SoTL to help encourage this development.</w:t>
      </w:r>
    </w:p>
    <w:p w:rsidR="006851DA" w:rsidRDefault="006851DA">
      <w:r>
        <w:br w:type="page"/>
      </w:r>
    </w:p>
    <w:p w:rsidR="002B0A09" w:rsidRPr="007020AA" w:rsidRDefault="006536F5" w:rsidP="00432503">
      <w:pPr>
        <w:spacing w:line="480" w:lineRule="auto"/>
        <w:rPr>
          <w:b/>
          <w:sz w:val="24"/>
          <w:szCs w:val="24"/>
        </w:rPr>
      </w:pPr>
      <w:r>
        <w:rPr>
          <w:b/>
          <w:sz w:val="24"/>
          <w:szCs w:val="24"/>
        </w:rPr>
        <w:lastRenderedPageBreak/>
        <w:t>Threshold Concepts in SoTL</w:t>
      </w:r>
    </w:p>
    <w:p w:rsidR="002B0A09" w:rsidRDefault="006536F5" w:rsidP="00432503">
      <w:pPr>
        <w:spacing w:line="480" w:lineRule="auto"/>
      </w:pPr>
      <w:r>
        <w:t xml:space="preserve">Meyer and Land </w:t>
      </w:r>
      <w:r>
        <w:fldChar w:fldCharType="begin"/>
      </w:r>
      <w:r>
        <w:instrText xml:space="preserve"> ADDIN ZOTERO_ITEM CSL_CITATION {"citationID":"2matraus50","properties":{"formattedCitation":"(2003)","plainCitation":"(2003)"},"citationItems":[{"id":14,"uris":["http://zotero.org/users/386570/items/2SHX6QDS"],"uri":["http://zotero.org/users/386570/items/2SHX6QDS"],"itemData":{"id":14,"type":"chapter","title":"Threshold concepts and troublesome knowledge: linkages to ways of thinking and practising within the disciplines","container-title":"Improving student learning: Improving student learning theory and practice - Ten Years On.","publisher":"Oxford Centre for Staff and Learning Development","publisher-place":"Oxford","edition":"Rust, C. (Ed)","event-place":"Oxford","author":[{"family":"Meyer","given":"Jan H. F."},{"family":"Land","given":"Ray"}],"issued":{"date-parts":[["2003"]]}},"suppress-author":true}],"schema":"https://github.com/citation-style-language/schema/raw/master/csl-citation.json"} </w:instrText>
      </w:r>
      <w:r>
        <w:fldChar w:fldCharType="separate"/>
      </w:r>
      <w:r w:rsidRPr="006536F5">
        <w:rPr>
          <w:rFonts w:ascii="Calibri" w:hAnsi="Calibri"/>
        </w:rPr>
        <w:t>(2003)</w:t>
      </w:r>
      <w:r>
        <w:fldChar w:fldCharType="end"/>
      </w:r>
      <w:r>
        <w:t xml:space="preserve"> have argued that the </w:t>
      </w:r>
      <w:r w:rsidR="002B0A09">
        <w:t xml:space="preserve">identification of Threshold Concepts in learning is </w:t>
      </w:r>
      <w:r w:rsidR="002B1910">
        <w:t xml:space="preserve">vital in developing student understanding. The </w:t>
      </w:r>
      <w:r w:rsidR="00170180">
        <w:t>characteristics</w:t>
      </w:r>
      <w:r>
        <w:t xml:space="preserve"> of a Threshold C</w:t>
      </w:r>
      <w:r w:rsidR="002B1910">
        <w:t>oncept are that it should be transformative, irreversible, integrative, bounded, and that the knowledge is in some way troublesome.</w:t>
      </w:r>
      <w:r w:rsidR="00170180">
        <w:t xml:space="preserve"> Individuals wrestling with Threshold Concepts may find themselves in a state of </w:t>
      </w:r>
      <w:proofErr w:type="spellStart"/>
      <w:r w:rsidR="00170180">
        <w:t>liminality</w:t>
      </w:r>
      <w:proofErr w:type="spellEnd"/>
      <w:r w:rsidR="00170180">
        <w:t>, that is, uncertainty, and within that uncertainty there is the opportunity to embrace the new and move on, or to reject it.</w:t>
      </w:r>
      <w:r w:rsidR="002B1910">
        <w:t xml:space="preserve"> </w:t>
      </w:r>
      <w:r w:rsidR="00173442">
        <w:t xml:space="preserve">There is a wealth of work which has been done to identify Threshold Concepts within disciplines. For example, within Life Sciences, which is my discipline, Threshold Concepts  have been identified in first year courses </w:t>
      </w:r>
      <w:r w:rsidR="00173442">
        <w:fldChar w:fldCharType="begin"/>
      </w:r>
      <w:r w:rsidR="0009226D">
        <w:instrText xml:space="preserve"> ADDIN ZOTERO_ITEM CSL_CITATION {"citationID":"u0gi59hpc","properties":{"formattedCitation":"(Smith, 2012)","plainCitation":"(Smith, 2012)"},"citationItems":[{"id":197,"uris":["http://zotero.org/users/386570/items/P8QB6QXC"],"uri":["http://zotero.org/users/386570/items/P8QB6QXC"],"itemData":{"id":197,"type":"thesis","title":"An Investigation of student learning using threshold concepts in a first year cell biology course","publisher":"University of British Columbia","publisher-place":"Vancouver, Canada","genre":"Master of Arts","event-place":"Vancouver, Canada","URL":"https://circle-prod.library.ubc.ca/bitstream/handle/2429/41938/ubc_2012_spring_smith_karen.pdf?sequence=1","author":[{"family":"Smith","given":"K"}],"issued":{"date-parts":[["2012"]]},"accessed":{"date-parts":[["2014",6,24]]}}}],"schema":"https://github.com/citation-style-language/schema/raw/master/csl-citation.json"} </w:instrText>
      </w:r>
      <w:r w:rsidR="00173442">
        <w:fldChar w:fldCharType="separate"/>
      </w:r>
      <w:r w:rsidR="00173442" w:rsidRPr="00173442">
        <w:rPr>
          <w:rFonts w:ascii="Calibri" w:hAnsi="Calibri"/>
        </w:rPr>
        <w:t>(Smith, 2012)</w:t>
      </w:r>
      <w:r w:rsidR="00173442">
        <w:fldChar w:fldCharType="end"/>
      </w:r>
      <w:r w:rsidR="00173442">
        <w:t xml:space="preserve"> and to investigate </w:t>
      </w:r>
      <w:r w:rsidR="00CE2CFD">
        <w:t xml:space="preserve">student understanding of </w:t>
      </w:r>
      <w:r w:rsidR="00173442">
        <w:t xml:space="preserve">hypothesis generation  </w:t>
      </w:r>
      <w:r w:rsidR="00CE2CFD">
        <w:fldChar w:fldCharType="begin"/>
      </w:r>
      <w:r w:rsidR="0009226D">
        <w:instrText xml:space="preserve"> ADDIN ZOTERO_ITEM CSL_CITATION {"citationID":"1as1fd5bu6","properties":{"formattedCitation":"(Taylor, Tzoumis, Meyer, &amp; Ross, 2012)","plainCitation":"(Taylor, Tzoumis, Meyer, &amp; Ross, 2012)"},"citationItems":[{"id":93,"uris":["http://zotero.org/users/386570/items/BB7AQF8J"],"uri":["http://zotero.org/users/386570/items/BB7AQF8J"],"itemData":{"id":93,"type":"paper-conference","title":"Using a mixed methods approach to explore student understanding of hypotheses in Biology","container-title":"Proceedings of the National Academy's Sixth Annual Conference and the Fourth Biennial Threshold Concepts Conference","publisher":"NAIRTL","publisher-place":"Trinity College, Dublin","page":"83-87","event":"Threshold Concepts: From Personal Practice to Communities of Practice","event-place":"Trinity College, Dublin","URL":"http://www.nairtl.ie/documents/EPub_2012Proceedings.pdf#page=93","author":[{"family":"Taylor","given":"C"},{"family":"Tzoumis","given":"V"},{"family":"Meyer","given":"J.H.F."},{"family":"Ross","given":"P."}],"issued":{"date-parts":[["2012"]]},"accessed":{"date-parts":[["2014",6,24]]}}}],"schema":"https://github.com/citation-style-language/schema/raw/master/csl-citation.json"} </w:instrText>
      </w:r>
      <w:r w:rsidR="00CE2CFD">
        <w:fldChar w:fldCharType="separate"/>
      </w:r>
      <w:r w:rsidR="00CE2CFD" w:rsidRPr="00CE2CFD">
        <w:rPr>
          <w:rFonts w:ascii="Calibri" w:hAnsi="Calibri"/>
        </w:rPr>
        <w:t xml:space="preserve">(Taylor, </w:t>
      </w:r>
      <w:proofErr w:type="spellStart"/>
      <w:r w:rsidR="00CE2CFD" w:rsidRPr="00CE2CFD">
        <w:rPr>
          <w:rFonts w:ascii="Calibri" w:hAnsi="Calibri"/>
        </w:rPr>
        <w:t>Tzoumis</w:t>
      </w:r>
      <w:proofErr w:type="spellEnd"/>
      <w:r w:rsidR="00CE2CFD" w:rsidRPr="00CE2CFD">
        <w:rPr>
          <w:rFonts w:ascii="Calibri" w:hAnsi="Calibri"/>
        </w:rPr>
        <w:t>, Meyer, &amp; Ross, 2012)</w:t>
      </w:r>
      <w:r w:rsidR="00CE2CFD">
        <w:fldChar w:fldCharType="end"/>
      </w:r>
      <w:r w:rsidR="00CE2CFD">
        <w:t>.</w:t>
      </w:r>
      <w:r w:rsidR="00173442">
        <w:t xml:space="preserve"> In addition, work has bee</w:t>
      </w:r>
      <w:r w:rsidR="00170180">
        <w:t>n</w:t>
      </w:r>
      <w:r w:rsidR="00173442">
        <w:t xml:space="preserve"> done in</w:t>
      </w:r>
      <w:r w:rsidR="00170180">
        <w:t xml:space="preserve"> the context of educational developers </w:t>
      </w:r>
      <w:r w:rsidR="00170180">
        <w:fldChar w:fldCharType="begin"/>
      </w:r>
      <w:r w:rsidR="0009226D">
        <w:instrText xml:space="preserve"> ADDIN ZOTERO_ITEM CSL_CITATION {"citationID":"2020n1tjs9","properties":{"formattedCitation":"(Timmermans, 2013)","plainCitation":"(Timmermans, 2013)"},"citationItems":[{"id":152,"uris":["http://zotero.org/users/386570/items/HBPJ2ZZK"],"uri":["http://zotero.org/users/386570/items/HBPJ2ZZK"],"itemData":{"id":152,"type":"article-journal","title":"Identifying threshold concepts in the careers of educational developers","container-title":"International Journal for Academic Development","URL":"http://dx.doi.org/10.1080/1360144X.2014.895731","DOI":"10.1080/1360144X.2014.895731","author":[{"family":"Timmermans","given":"Julie A"}],"issued":{"date-parts":[["2013"]]}}}],"schema":"https://github.com/citation-style-language/schema/raw/master/csl-citation.json"} </w:instrText>
      </w:r>
      <w:r w:rsidR="00170180">
        <w:fldChar w:fldCharType="separate"/>
      </w:r>
      <w:r w:rsidR="00170180" w:rsidRPr="00170180">
        <w:rPr>
          <w:rFonts w:ascii="Calibri" w:hAnsi="Calibri"/>
        </w:rPr>
        <w:t>(</w:t>
      </w:r>
      <w:proofErr w:type="spellStart"/>
      <w:r w:rsidR="00170180" w:rsidRPr="00170180">
        <w:rPr>
          <w:rFonts w:ascii="Calibri" w:hAnsi="Calibri"/>
        </w:rPr>
        <w:t>Timmermans</w:t>
      </w:r>
      <w:proofErr w:type="spellEnd"/>
      <w:r w:rsidR="00170180" w:rsidRPr="00170180">
        <w:rPr>
          <w:rFonts w:ascii="Calibri" w:hAnsi="Calibri"/>
        </w:rPr>
        <w:t>, 2013)</w:t>
      </w:r>
      <w:r w:rsidR="00170180">
        <w:fldChar w:fldCharType="end"/>
      </w:r>
      <w:r w:rsidR="00101E1A">
        <w:t xml:space="preserve">, </w:t>
      </w:r>
      <w:r w:rsidR="002B1910">
        <w:t xml:space="preserve">as a way </w:t>
      </w:r>
      <w:r w:rsidR="00CC4EC2">
        <w:t>to initiate interest in SoTL</w:t>
      </w:r>
      <w:r w:rsidR="002B1910">
        <w:t xml:space="preserve"> </w:t>
      </w:r>
      <w:r w:rsidR="002B1910">
        <w:fldChar w:fldCharType="begin"/>
      </w:r>
      <w:r w:rsidR="00BC6751">
        <w:instrText xml:space="preserve"> ADDIN ZOTERO_ITEM CSL_CITATION {"citationID":"13cebo000m","properties":{"formattedCitation":"(McLean, 2009)","plainCitation":"(McLean, 2009)"},"citationItems":[{"id":67,"uris":["http://zotero.org/users/386570/items/8NE2CNXX"],"uri":["http://zotero.org/users/386570/items/8NE2CNXX"],"itemData":{"id":67,"type":"article-journal","title":"Triggering Engagement in SoTL through Threshold Concepts","container-title":"International Journal for the Scholarship of Teaching and Learning","page":"Article 24","volume":"3","issue":"2","author":[{"family":"McLean","given":"Jan"}],"issued":{"date-parts":[["2009"]]}}}],"schema":"https://github.com/citation-style-language/schema/raw/master/csl-citation.json"} </w:instrText>
      </w:r>
      <w:r w:rsidR="002B1910">
        <w:fldChar w:fldCharType="separate"/>
      </w:r>
      <w:r w:rsidR="002B1910" w:rsidRPr="002B1910">
        <w:rPr>
          <w:rFonts w:ascii="Calibri" w:hAnsi="Calibri"/>
        </w:rPr>
        <w:t>(McLean, 2009)</w:t>
      </w:r>
      <w:r w:rsidR="002B1910">
        <w:fldChar w:fldCharType="end"/>
      </w:r>
      <w:r w:rsidR="00101E1A">
        <w:t xml:space="preserve">, and to develop scholarly teaching </w:t>
      </w:r>
      <w:r w:rsidR="00101E1A">
        <w:fldChar w:fldCharType="begin"/>
      </w:r>
      <w:r w:rsidR="0009226D">
        <w:instrText xml:space="preserve"> ADDIN ZOTERO_ITEM CSL_CITATION {"citationID":"fn5sbktii","properties":{"formattedCitation":"(Bunnell &amp; Bernstein, 2012)","plainCitation":"(Bunnell &amp; Bernstein, 2012)"},"citationItems":[{"id":203,"uris":["http://zotero.org/users/386570/items/PQXCWR78"],"uri":["http://zotero.org/users/386570/items/PQXCWR78"],"itemData":{"id":203,"type":"article-journal","title":"Overcoming Some Threshold Concepts in Scholarly Teaching","container-title":"The Journal of Faculty Development","page":"14-18","volume":"26","issue":"3","author":[{"family":"Bunnell","given":"Sarah L."},{"family":"Bernstein","given":"Daniel J."}],"issued":{"date-parts":[["2012"]]}}}],"schema":"https://github.com/citation-style-language/schema/raw/master/csl-citation.json"} </w:instrText>
      </w:r>
      <w:r w:rsidR="00101E1A">
        <w:fldChar w:fldCharType="separate"/>
      </w:r>
      <w:r w:rsidR="00101E1A" w:rsidRPr="00101E1A">
        <w:rPr>
          <w:rFonts w:ascii="Calibri" w:hAnsi="Calibri"/>
        </w:rPr>
        <w:t>(</w:t>
      </w:r>
      <w:proofErr w:type="spellStart"/>
      <w:r w:rsidR="00101E1A" w:rsidRPr="00101E1A">
        <w:rPr>
          <w:rFonts w:ascii="Calibri" w:hAnsi="Calibri"/>
        </w:rPr>
        <w:t>Bunnell</w:t>
      </w:r>
      <w:proofErr w:type="spellEnd"/>
      <w:r w:rsidR="00101E1A" w:rsidRPr="00101E1A">
        <w:rPr>
          <w:rFonts w:ascii="Calibri" w:hAnsi="Calibri"/>
        </w:rPr>
        <w:t xml:space="preserve"> &amp; Bernstein, 2012)</w:t>
      </w:r>
      <w:r w:rsidR="00101E1A">
        <w:fldChar w:fldCharType="end"/>
      </w:r>
      <w:r w:rsidR="00170180">
        <w:t>.</w:t>
      </w:r>
    </w:p>
    <w:p w:rsidR="00101E1A" w:rsidRDefault="00101E1A" w:rsidP="00432503">
      <w:pPr>
        <w:spacing w:line="480" w:lineRule="auto"/>
      </w:pPr>
      <w:r>
        <w:t>For academic staff in the UK context, it is becom</w:t>
      </w:r>
      <w:r w:rsidR="006851DA">
        <w:t xml:space="preserve">ing increasingly common for engagement with </w:t>
      </w:r>
      <w:r w:rsidR="007E0950">
        <w:t xml:space="preserve">the </w:t>
      </w:r>
      <w:r>
        <w:t>S</w:t>
      </w:r>
      <w:r w:rsidR="007E0950">
        <w:t xml:space="preserve">cholarship of </w:t>
      </w:r>
      <w:r>
        <w:t>T</w:t>
      </w:r>
      <w:r w:rsidR="007E0950">
        <w:t xml:space="preserve">eaching and </w:t>
      </w:r>
      <w:r>
        <w:t>L</w:t>
      </w:r>
      <w:r w:rsidR="007E0950">
        <w:t xml:space="preserve">earning </w:t>
      </w:r>
      <w:r w:rsidR="007E0950">
        <w:fldChar w:fldCharType="begin"/>
      </w:r>
      <w:r w:rsidR="0009226D">
        <w:instrText xml:space="preserve"> ADDIN ZOTERO_ITEM CSL_CITATION {"citationID":"21b7tdf3sf","properties":{"formattedCitation":"(Boyer, 1990)","plainCitation":"(Boyer, 1990)"},"citationItems":[{"id":3,"uris":["http://zotero.org/users/386570/items/23396MAS"],"uri":["http://zotero.org/users/386570/items/23396MAS"],"itemData":{"id":3,"type":"book","title":"Scholarship reconsidered: Priorities of the professoriate.","publisher":"Jossey-Bass","publisher-place":"San Francisco","event-place":"San Francisco","author":[{"family":"Boyer","given":"Ernest"}],"issued":{"date-parts":[["1990"]]}}}],"schema":"https://github.com/citation-style-language/schema/raw/master/csl-citation.json"} </w:instrText>
      </w:r>
      <w:r w:rsidR="007E0950">
        <w:fldChar w:fldCharType="separate"/>
      </w:r>
      <w:r w:rsidR="007E0950" w:rsidRPr="007E0950">
        <w:rPr>
          <w:rFonts w:ascii="Calibri" w:hAnsi="Calibri"/>
        </w:rPr>
        <w:t>(Boyer, 1990)</w:t>
      </w:r>
      <w:r w:rsidR="007E0950">
        <w:fldChar w:fldCharType="end"/>
      </w:r>
      <w:r w:rsidR="006851DA">
        <w:t xml:space="preserve"> to be a contractual obligation, and with an estimated one in four academic staff on a “teaching and scholarship” career path </w:t>
      </w:r>
      <w:r w:rsidR="006851DA">
        <w:fldChar w:fldCharType="begin"/>
      </w:r>
      <w:r w:rsidR="00D93CAA">
        <w:instrText xml:space="preserve"> ADDIN ZOTERO_ITEM CSL_CITATION {"citationID":"1dnk2vs65i","properties":{"formattedCitation":"(Times Higher Education, 2008)","plainCitation":"(Times Higher Education, 2008)"},"citationItems":[{"id":73,"uris":["http://zotero.org/users/386570/items/98NX7SD9"],"uri":["http://zotero.org/users/386570/items/98NX7SD9"],"itemData":{"id":73,"type":"webpage","title":"A lesser breed?","container-title":"Times Higher Education","abstract":"Teaching-only staff were once widely deemed unworthy of the name 'academic'. But one in four UK academics is now labelled so, and the proportion is expected to grow. Esther Oxford considers the implications.","URL":"http://www.timeshighereducation.co.uk/features/a-lesser-breed/400361.article","author":[{"family":"Times Higher Education","given":""}],"issued":{"date-parts":[["2008",1,3]]},"accessed":{"date-parts":[["2013",4,21]]}}}],"schema":"https://github.com/citation-style-language/schema/raw/master/csl-citation.json"} </w:instrText>
      </w:r>
      <w:r w:rsidR="006851DA">
        <w:fldChar w:fldCharType="separate"/>
      </w:r>
      <w:r w:rsidR="006851DA" w:rsidRPr="006851DA">
        <w:rPr>
          <w:rFonts w:ascii="Calibri" w:hAnsi="Calibri"/>
        </w:rPr>
        <w:t>(Times Higher Education, 2008)</w:t>
      </w:r>
      <w:r w:rsidR="006851DA">
        <w:fldChar w:fldCharType="end"/>
      </w:r>
      <w:r w:rsidR="00E15F1A">
        <w:t xml:space="preserve">, identifying ways in which to support staff is both necessary and timely. </w:t>
      </w:r>
      <w:r w:rsidR="00CD6CA4">
        <w:t xml:space="preserve">The definition of SoTL is contested by scholars such </w:t>
      </w:r>
      <w:r w:rsidR="00BC6751">
        <w:t xml:space="preserve">as </w:t>
      </w:r>
      <w:proofErr w:type="spellStart"/>
      <w:r w:rsidR="00BC6751">
        <w:t>Boshier</w:t>
      </w:r>
      <w:proofErr w:type="spellEnd"/>
      <w:r w:rsidR="00BC6751">
        <w:t xml:space="preserve"> </w:t>
      </w:r>
      <w:r w:rsidR="00BC6751">
        <w:fldChar w:fldCharType="begin"/>
      </w:r>
      <w:r w:rsidR="0009226D">
        <w:instrText xml:space="preserve"> ADDIN ZOTERO_ITEM CSL_CITATION {"citationID":"25qk7koctg","properties":{"formattedCitation":"(2009)","plainCitation":"(2009)"},"citationItems":[{"id":29,"uris":["http://zotero.org/users/386570/items/4WRTPJ3H"],"uri":["http://zotero.org/users/386570/items/4WRTPJ3H"],"itemData":{"id":29,"type":"article-journal","title":"Why is the Scholarship of Teaching and Learning such a hard sell?","container-title":"Higher Education Research &amp; Development","page":"1-15","volume":"28","issue":"1","source":"EBSCOhost","abstract":"Advocates have difficulty convincing colleagues Scholarship of Teaching and Learning (SoTL) is a worthwhile use of time and resources. This article highlights problems impeding SoTL. First, scholarship of teaching gets used as a synonym for other activities. Second, Boyer's definition was conceptually confused. Third, SoTL is difficult to operationalize. Fourth, much discourse concerning SoTL is anti-intellectual and located in a narrow neoliberalism. Fifth, there is uncritical over-reliance on peer review as the mechanism for measuring scholarship. Each impediment makes SoTL a hard sell - particularly in research-intensive universities. Taken together, they constitute a formidable problem for SoTL advocates and contain incendiary implications for promotion candidates and committees. [ABSTRACT FROM AUTHOR]","ISSN":"07294360","author":[{"family":"Boshier","given":"Roger"}],"issued":{"date-parts":[["2009",2]]}},"suppress-author":true}],"schema":"https://github.com/citation-style-language/schema/raw/master/csl-citation.json"} </w:instrText>
      </w:r>
      <w:r w:rsidR="00BC6751">
        <w:fldChar w:fldCharType="separate"/>
      </w:r>
      <w:r w:rsidR="00BC6751" w:rsidRPr="00BC6751">
        <w:rPr>
          <w:rFonts w:ascii="Calibri" w:hAnsi="Calibri"/>
        </w:rPr>
        <w:t>(2009)</w:t>
      </w:r>
      <w:r w:rsidR="00BC6751">
        <w:fldChar w:fldCharType="end"/>
      </w:r>
      <w:r w:rsidR="00BC6751">
        <w:t>. However, there are models of SoTL which serve as a useful guide, such as</w:t>
      </w:r>
      <w:r w:rsidR="00113EF0">
        <w:t xml:space="preserve"> </w:t>
      </w:r>
      <w:proofErr w:type="spellStart"/>
      <w:r w:rsidR="00113EF0">
        <w:t>Glassick</w:t>
      </w:r>
      <w:proofErr w:type="spellEnd"/>
      <w:r w:rsidR="00113EF0">
        <w:t xml:space="preserve">, </w:t>
      </w:r>
      <w:r w:rsidR="00727C6A">
        <w:t xml:space="preserve">Huber and </w:t>
      </w:r>
      <w:proofErr w:type="spellStart"/>
      <w:r w:rsidR="00727C6A">
        <w:t>Maeroff’s</w:t>
      </w:r>
      <w:proofErr w:type="spellEnd"/>
      <w:r w:rsidR="00727C6A">
        <w:t xml:space="preserve"> suggested standards of</w:t>
      </w:r>
      <w:r w:rsidR="00113EF0">
        <w:t xml:space="preserve"> scholarship </w:t>
      </w:r>
      <w:r w:rsidR="00113EF0">
        <w:fldChar w:fldCharType="begin"/>
      </w:r>
      <w:r w:rsidR="0009226D">
        <w:instrText xml:space="preserve"> ADDIN ZOTERO_ITEM CSL_CITATION {"citationID":"22g92irke0","properties":{"formattedCitation":"(1997)","plainCitation":"(1997)"},"citationItems":[{"id":270,"uris":["http://zotero.org/users/386570/items/XDMR8GJB"],"uri":["http://zotero.org/users/386570/items/XDMR8GJB"],"itemData":{"id":270,"type":"book","title":"Scholarship assessed: Evaluation of the professoriate.","publisher":"Jossey-Bass","publisher-place":"San Francisco","event-place":"San Francisco","author":[{"family":"Glassick","given":"C. E."},{"family":"Huber","given":"M. T."},{"family":"Maeroff","given":"G. I."}],"issued":{"date-parts":[["1997"]]}},"suppress-author":true}],"schema":"https://github.com/citation-style-language/schema/raw/master/csl-citation.json"} </w:instrText>
      </w:r>
      <w:r w:rsidR="00113EF0">
        <w:fldChar w:fldCharType="separate"/>
      </w:r>
      <w:r w:rsidR="00113EF0" w:rsidRPr="00113EF0">
        <w:rPr>
          <w:rFonts w:ascii="Calibri" w:hAnsi="Calibri"/>
        </w:rPr>
        <w:t>(1997)</w:t>
      </w:r>
      <w:r w:rsidR="00113EF0">
        <w:fldChar w:fldCharType="end"/>
      </w:r>
      <w:r w:rsidR="00113EF0">
        <w:t>,</w:t>
      </w:r>
      <w:r w:rsidR="00BC6751">
        <w:t xml:space="preserve"> </w:t>
      </w:r>
      <w:proofErr w:type="spellStart"/>
      <w:r w:rsidR="00BC6751">
        <w:t>Kreber’s</w:t>
      </w:r>
      <w:proofErr w:type="spellEnd"/>
      <w:r w:rsidR="00BC6751">
        <w:t xml:space="preserve"> Reflective Practitioner </w:t>
      </w:r>
      <w:r w:rsidR="00BC6751">
        <w:fldChar w:fldCharType="begin"/>
      </w:r>
      <w:r w:rsidR="0009226D">
        <w:instrText xml:space="preserve"> ADDIN ZOTERO_ITEM CSL_CITATION {"citationID":"294r6u939b","properties":{"formattedCitation":"(2002)","plainCitation":"(2002)"},"citationItems":[{"id":131,"uris":["http://zotero.org/users/386570/items/F6UT9TBM"],"uri":["http://zotero.org/users/386570/items/F6UT9TBM"],"itemData":{"id":131,"type":"article-journal","title":"Teaching Excellence, Teaching Expertise, and the Scholarship of Teaching.","container-title":"Innovative Higher Education","page":"5","volume":"27","issue":"1","source":"EBSCOhost","abstract":"The previous decade witnessed significant advancements in the scholarship of teaching at the levels of both theory building and program development. Notwithstanding these achievements, there remains considerable ambiguity regarding the meaning of the concept. This ambiguity has implications for faculty evaluation. Excellence in teaching, expertise in teaching, and the scholarship of teaching are analyzed according to the nature and sources of knowledge construction underlying each. Practical examples are included to illustrate differences. It is argued that excellence in teaching and the scholarship of teaching are both important but should be recognized and rewarded in their own right. [ABSTRACT FROM AUTHOR]","ISSN":"07425627","author":[{"family":"Kreber","given":"Carolin"}],"issued":{"date-parts":[["2002"]]}},"suppress-author":true}],"schema":"https://github.com/citation-style-language/schema/raw/master/csl-citation.json"} </w:instrText>
      </w:r>
      <w:r w:rsidR="00BC6751">
        <w:fldChar w:fldCharType="separate"/>
      </w:r>
      <w:r w:rsidR="00BC6751" w:rsidRPr="00BC6751">
        <w:rPr>
          <w:rFonts w:ascii="Calibri" w:hAnsi="Calibri"/>
        </w:rPr>
        <w:t>(2002)</w:t>
      </w:r>
      <w:r w:rsidR="00BC6751">
        <w:fldChar w:fldCharType="end"/>
      </w:r>
      <w:r w:rsidR="00BC6751">
        <w:t xml:space="preserve">, </w:t>
      </w:r>
      <w:proofErr w:type="spellStart"/>
      <w:r w:rsidR="00BC6751">
        <w:t>Antman</w:t>
      </w:r>
      <w:proofErr w:type="spellEnd"/>
      <w:r w:rsidR="00BC6751">
        <w:t xml:space="preserve"> and Olsson’s two dimensional theory-</w:t>
      </w:r>
      <w:r w:rsidR="00D93CAA">
        <w:t xml:space="preserve">practice matrix model </w:t>
      </w:r>
      <w:r w:rsidR="00D93CAA">
        <w:fldChar w:fldCharType="begin"/>
      </w:r>
      <w:r w:rsidR="0009226D">
        <w:instrText xml:space="preserve"> ADDIN ZOTERO_ITEM CSL_CITATION {"citationID":"29vp40dgab","properties":{"formattedCitation":"(2007)","plainCitation":"(2007)"},"citationItems":[{"id":227,"uris":["http://zotero.org/users/386570/items/SJ688QSD"],"uri":["http://zotero.org/users/386570/items/SJ688QSD"],"itemData":{"id":227,"type":"chapter","title":"A Two-Dimensional Matrix Model for Analysing Scholarly  Approaches to Teaching and Learning","container-title":"Improving Student Learning through Teaching","publisher":"The Oxford Centre for Staff and Learning Development","publisher-place":"Oxford","event-place":"Oxford","author":[{"family":"Antman","given":"L"},{"family":"Olsson","given":"Thomas"}],"issued":{"date-parts":[["2007"]]}},"suppress-author":true}],"schema":"https://github.com/citation-style-language/schema/raw/master/csl-citation.json"} </w:instrText>
      </w:r>
      <w:r w:rsidR="00D93CAA">
        <w:fldChar w:fldCharType="separate"/>
      </w:r>
      <w:r w:rsidR="00D93CAA" w:rsidRPr="00D93CAA">
        <w:rPr>
          <w:rFonts w:ascii="Calibri" w:hAnsi="Calibri"/>
        </w:rPr>
        <w:t>(2007)</w:t>
      </w:r>
      <w:r w:rsidR="00D93CAA">
        <w:fldChar w:fldCharType="end"/>
      </w:r>
      <w:r w:rsidR="00113EF0">
        <w:t xml:space="preserve"> and </w:t>
      </w:r>
      <w:proofErr w:type="spellStart"/>
      <w:r w:rsidR="00113EF0">
        <w:t>Trigwell</w:t>
      </w:r>
      <w:proofErr w:type="spellEnd"/>
      <w:r w:rsidR="00113EF0">
        <w:t xml:space="preserve">, Martin, Benjamin and Prosser’s four dimensional model of scholarship </w:t>
      </w:r>
      <w:r w:rsidR="00113EF0">
        <w:fldChar w:fldCharType="begin"/>
      </w:r>
      <w:r w:rsidR="0009226D">
        <w:instrText xml:space="preserve"> ADDIN ZOTERO_ITEM CSL_CITATION {"citationID":"24sqqd0hqu","properties":{"formattedCitation":"(2000)","plainCitation":"(2000)"},"citationItems":[{"id":104,"uris":["http://zotero.org/users/386570/items/CFNXGIMZ"],"uri":["http://zotero.org/users/386570/items/CFNXGIMZ"],"itemData":{"id":104,"type":"article-journal","title":"Scholarship of Teaching: a model","container-title":"Higher Education Research &amp; Development","page":"155-168","volume":"19","issue":"2","source":"EBSCOhost","abstract":"In this paper we present a model which describes the scholarship of teaching. We first explore what scholarship of teaching means, both in terms of the way it is represented in the literature and also the way it is understood by academic staff themselves. From this information, we derive a multi-dimensional model of scholarship of teaching which captures the variation found in the literature and empirical studies. In the final section, we illustrate how the model is used in informing the design of programs for development of the scholarship of teaching in universities.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Abstracts.)","ISSN":"07294360","call-number":"3839399","shortTitle":"Scholarship of Teaching","author":[{"family":"Trigwell","given":"Keith"},{"family":"Martin","given":"Elaine"},{"family":"Benjamin","given":"Joan"},{"family":"Prosser","given":"Mike"}],"issued":{"date-parts":[["2000",7]]}},"suppress-author":true}],"schema":"https://github.com/citation-style-language/schema/raw/master/csl-citation.json"} </w:instrText>
      </w:r>
      <w:r w:rsidR="00113EF0">
        <w:fldChar w:fldCharType="separate"/>
      </w:r>
      <w:r w:rsidR="00113EF0" w:rsidRPr="00113EF0">
        <w:rPr>
          <w:rFonts w:ascii="Calibri" w:hAnsi="Calibri"/>
        </w:rPr>
        <w:t>(2000)</w:t>
      </w:r>
      <w:r w:rsidR="00113EF0">
        <w:fldChar w:fldCharType="end"/>
      </w:r>
      <w:r w:rsidR="00113EF0">
        <w:t>.</w:t>
      </w:r>
    </w:p>
    <w:p w:rsidR="00113EF0" w:rsidRDefault="00113EF0">
      <w:r>
        <w:br w:type="page"/>
      </w:r>
    </w:p>
    <w:p w:rsidR="00E15F1A" w:rsidRPr="007020AA" w:rsidRDefault="00E15F1A" w:rsidP="00432503">
      <w:pPr>
        <w:spacing w:line="480" w:lineRule="auto"/>
        <w:rPr>
          <w:b/>
          <w:sz w:val="24"/>
          <w:szCs w:val="24"/>
        </w:rPr>
      </w:pPr>
      <w:r w:rsidRPr="007020AA">
        <w:rPr>
          <w:b/>
          <w:sz w:val="24"/>
          <w:szCs w:val="24"/>
        </w:rPr>
        <w:lastRenderedPageBreak/>
        <w:t>Methodology</w:t>
      </w:r>
    </w:p>
    <w:p w:rsidR="004D2CB0" w:rsidRDefault="00E15F1A" w:rsidP="00BE3768">
      <w:pPr>
        <w:spacing w:before="240" w:line="480" w:lineRule="auto"/>
      </w:pPr>
      <w:r>
        <w:t xml:space="preserve">Life Science academics at UK universities were invited to take part in a survey using Semantic Differential </w:t>
      </w:r>
      <w:r>
        <w:fldChar w:fldCharType="begin"/>
      </w:r>
      <w:r w:rsidR="0071402A">
        <w:instrText xml:space="preserve"> ADDIN ZOTERO_ITEM CSL_CITATION {"citationID":"9d18n2j7o","properties":{"formattedCitation":"(Osgood &amp; Suci, 1969; Osgood, Suci, &amp; Tannenbaum, 1957)","plainCitation":"(Osgood &amp; Suci, 1969; Osgood, Suci, &amp; Tannenbaum, 1957)"},"citationItems":[{"id":110,"uris":["http://zotero.org/users/386570/items/CWS7ZBNF"],"uri":["http://zotero.org/users/386570/items/CWS7ZBNF"],"itemData":{"id":110,"type":"book","title":"The Measurement of Meaning","publisher":"Urbana, USA: University of Illinois Press","author":[{"family":"Osgood","given":"Charles E."},{"family":"Suci","given":"G. J."},{"family":"Tannenbaum","given":"P. H."}],"issued":{"date-parts":[["1957"]]}},"label":"page"},{"id":140,"uris":["http://zotero.org/users/386570/items/FZV6I873"],"uri":["http://zotero.org/users/386570/items/FZV6I873"],"itemData":{"id":140,"type":"chapter","title":"Factor analysis of meaning","container-title":"Semantic differential Technique: A sourcebook of basic studies of the origin, theoretical basis, methodology, validity, and specific uses of an important new tool for social and behavioural scientists.","publisher":"Aldine Publishing Company","publisher-place":"Chicago","page":"42-55","edition":"Snider, J. G. &amp; Osgood, C. E. (Eds)","event-place":"Chicago","author":[{"family":"Osgood","given":"Charles E."},{"family":"Suci","given":"G. J."}],"issued":{"date-parts":[["1969"]]}},"label":"page"}],"schema":"https://github.com/citation-style-language/schema/raw/master/csl-citation.json"} </w:instrText>
      </w:r>
      <w:r>
        <w:fldChar w:fldCharType="separate"/>
      </w:r>
      <w:r w:rsidR="00D90F4B" w:rsidRPr="00D90F4B">
        <w:rPr>
          <w:rFonts w:ascii="Calibri" w:hAnsi="Calibri"/>
        </w:rPr>
        <w:t xml:space="preserve">(Osgood &amp; </w:t>
      </w:r>
      <w:proofErr w:type="spellStart"/>
      <w:r w:rsidR="00D90F4B" w:rsidRPr="00D90F4B">
        <w:rPr>
          <w:rFonts w:ascii="Calibri" w:hAnsi="Calibri"/>
        </w:rPr>
        <w:t>Suci</w:t>
      </w:r>
      <w:proofErr w:type="spellEnd"/>
      <w:r w:rsidR="00D90F4B" w:rsidRPr="00D90F4B">
        <w:rPr>
          <w:rFonts w:ascii="Calibri" w:hAnsi="Calibri"/>
        </w:rPr>
        <w:t>, 1969; Osgood, Suci, &amp; Tannenbaum, 1957)</w:t>
      </w:r>
      <w:r>
        <w:fldChar w:fldCharType="end"/>
      </w:r>
      <w:r>
        <w:t xml:space="preserve"> to identify areas of tension</w:t>
      </w:r>
      <w:r w:rsidR="00727C6A">
        <w:t xml:space="preserve"> in academic identity that might be apparent</w:t>
      </w:r>
      <w:r>
        <w:t xml:space="preserve">. </w:t>
      </w:r>
      <w:r w:rsidR="00183DFF">
        <w:t>Fifteen concepts of Academic Identity</w:t>
      </w:r>
      <w:r w:rsidR="000C1352">
        <w:t xml:space="preserve"> (</w:t>
      </w:r>
      <w:r w:rsidR="000C1352">
        <w:fldChar w:fldCharType="begin"/>
      </w:r>
      <w:r w:rsidR="000C1352">
        <w:instrText xml:space="preserve"> REF _Ref399856119 \h </w:instrText>
      </w:r>
      <w:r w:rsidR="000C1352">
        <w:fldChar w:fldCharType="separate"/>
      </w:r>
      <w:r w:rsidR="000C1352">
        <w:t xml:space="preserve">Table </w:t>
      </w:r>
      <w:r w:rsidR="000C1352">
        <w:rPr>
          <w:noProof/>
        </w:rPr>
        <w:t>1</w:t>
      </w:r>
      <w:r w:rsidR="000C1352">
        <w:fldChar w:fldCharType="end"/>
      </w:r>
      <w:r w:rsidR="000C1352">
        <w:t>)</w:t>
      </w:r>
      <w:r w:rsidR="00183DFF">
        <w:t xml:space="preserve"> were measured by asking participants to compare each concept to a set of bipolar adjectives</w:t>
      </w:r>
      <w:r w:rsidR="000C1352">
        <w:t xml:space="preserve"> (</w:t>
      </w:r>
      <w:r w:rsidR="000C1352">
        <w:fldChar w:fldCharType="begin"/>
      </w:r>
      <w:r w:rsidR="000C1352">
        <w:instrText xml:space="preserve"> REF _Ref399856201 \h </w:instrText>
      </w:r>
      <w:r w:rsidR="000C1352">
        <w:fldChar w:fldCharType="separate"/>
      </w:r>
      <w:r w:rsidR="000C1352">
        <w:t xml:space="preserve">Table </w:t>
      </w:r>
      <w:r w:rsidR="000C1352">
        <w:rPr>
          <w:noProof/>
        </w:rPr>
        <w:t>2</w:t>
      </w:r>
      <w:r w:rsidR="000C1352">
        <w:fldChar w:fldCharType="end"/>
      </w:r>
      <w:r w:rsidR="000C1352">
        <w:t>)</w:t>
      </w:r>
      <w:r w:rsidR="00183DFF">
        <w:t xml:space="preserve">, </w:t>
      </w:r>
      <w:r w:rsidR="000C1352">
        <w:t>representing three axes, Evaluation, Potency and Activity</w:t>
      </w:r>
      <w:r w:rsidR="00183DFF">
        <w:t>. Each bipolar</w:t>
      </w:r>
      <w:r w:rsidR="000C1352">
        <w:t xml:space="preserve"> adjective</w:t>
      </w:r>
      <w:r w:rsidR="00183DFF">
        <w:t xml:space="preserve"> pair was given a score from one to seven (with four as the mid-point), and scores were averaged according to the biographical data provided by the participants</w:t>
      </w:r>
      <w:r w:rsidR="00D17F4A">
        <w:t xml:space="preserve"> (</w:t>
      </w:r>
      <w:r w:rsidR="00D17F4A">
        <w:fldChar w:fldCharType="begin"/>
      </w:r>
      <w:r w:rsidR="00D17F4A">
        <w:instrText xml:space="preserve"> REF _Ref402637609 \h </w:instrText>
      </w:r>
      <w:r w:rsidR="00D17F4A">
        <w:fldChar w:fldCharType="separate"/>
      </w:r>
      <w:r w:rsidR="00D17F4A">
        <w:t xml:space="preserve">Table </w:t>
      </w:r>
      <w:r w:rsidR="00D17F4A">
        <w:rPr>
          <w:noProof/>
        </w:rPr>
        <w:t>3</w:t>
      </w:r>
      <w:r w:rsidR="00D17F4A">
        <w:fldChar w:fldCharType="end"/>
      </w:r>
      <w:r w:rsidR="00D17F4A">
        <w:t>)</w:t>
      </w:r>
      <w:r w:rsidR="00183DFF">
        <w:t>.</w:t>
      </w:r>
    </w:p>
    <w:p w:rsidR="00183DFF" w:rsidRPr="000C1352" w:rsidRDefault="00D17F4A" w:rsidP="00D17F4A">
      <w:pPr>
        <w:pStyle w:val="Caption"/>
      </w:pPr>
      <w:r>
        <w:t xml:space="preserve">Table </w:t>
      </w:r>
      <w:fldSimple w:instr=" SEQ Table \* ARABIC ">
        <w:r>
          <w:rPr>
            <w:noProof/>
          </w:rPr>
          <w:t>1</w:t>
        </w:r>
      </w:fldSimple>
      <w:r>
        <w:t xml:space="preserve"> </w:t>
      </w:r>
      <w:r w:rsidRPr="00E77B3E">
        <w:t>Concepts identified as facets of Academic Identity</w:t>
      </w:r>
    </w:p>
    <w:tbl>
      <w:tblPr>
        <w:tblStyle w:val="TableGrid"/>
        <w:tblW w:w="0" w:type="auto"/>
        <w:tblLook w:val="00A0" w:firstRow="1" w:lastRow="0" w:firstColumn="1" w:lastColumn="0" w:noHBand="0" w:noVBand="0"/>
      </w:tblPr>
      <w:tblGrid>
        <w:gridCol w:w="1703"/>
        <w:gridCol w:w="1703"/>
        <w:gridCol w:w="1703"/>
        <w:gridCol w:w="1703"/>
        <w:gridCol w:w="1704"/>
      </w:tblGrid>
      <w:tr w:rsidR="00183DFF" w:rsidTr="00224559">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Bioscience</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SoTL</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Community</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Lifelong Learning</w:t>
            </w:r>
          </w:p>
        </w:tc>
        <w:tc>
          <w:tcPr>
            <w:tcW w:w="1704"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Career</w:t>
            </w:r>
          </w:p>
        </w:tc>
      </w:tr>
      <w:tr w:rsidR="00183DFF" w:rsidTr="00224559">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Research</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Pedagogy</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Collaboration</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Teaching</w:t>
            </w:r>
          </w:p>
        </w:tc>
        <w:tc>
          <w:tcPr>
            <w:tcW w:w="1704"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Identity</w:t>
            </w:r>
          </w:p>
        </w:tc>
      </w:tr>
      <w:tr w:rsidR="00183DFF" w:rsidTr="00224559">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Discovery</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Education</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Competition</w:t>
            </w:r>
          </w:p>
        </w:tc>
        <w:tc>
          <w:tcPr>
            <w:tcW w:w="1703"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Students</w:t>
            </w:r>
          </w:p>
        </w:tc>
        <w:tc>
          <w:tcPr>
            <w:tcW w:w="1704" w:type="dxa"/>
          </w:tcPr>
          <w:p w:rsidR="00183DFF" w:rsidRPr="00733B0A" w:rsidRDefault="00183DFF" w:rsidP="00183DFF">
            <w:pPr>
              <w:spacing w:line="276" w:lineRule="auto"/>
              <w:jc w:val="center"/>
              <w:rPr>
                <w:rFonts w:ascii="Calibri" w:hAnsi="Calibri"/>
                <w:sz w:val="20"/>
                <w:szCs w:val="20"/>
              </w:rPr>
            </w:pPr>
            <w:r w:rsidRPr="00733B0A">
              <w:rPr>
                <w:rFonts w:ascii="Calibri" w:hAnsi="Calibri"/>
                <w:sz w:val="20"/>
                <w:szCs w:val="20"/>
              </w:rPr>
              <w:t>Administration</w:t>
            </w:r>
          </w:p>
        </w:tc>
      </w:tr>
    </w:tbl>
    <w:p w:rsidR="000C1352" w:rsidRDefault="000C1352" w:rsidP="000C1352">
      <w:pPr>
        <w:spacing w:after="0"/>
        <w:jc w:val="center"/>
        <w:rPr>
          <w:rFonts w:ascii="Calibri" w:hAnsi="Calibri"/>
          <w:sz w:val="20"/>
          <w:szCs w:val="20"/>
        </w:rPr>
      </w:pPr>
    </w:p>
    <w:p w:rsidR="00D17F4A" w:rsidRDefault="00D17F4A" w:rsidP="000C1352">
      <w:pPr>
        <w:spacing w:after="0"/>
        <w:jc w:val="center"/>
        <w:rPr>
          <w:rFonts w:ascii="Calibri" w:hAnsi="Calibri"/>
          <w:sz w:val="20"/>
          <w:szCs w:val="20"/>
        </w:rPr>
      </w:pPr>
    </w:p>
    <w:p w:rsidR="000C1352" w:rsidRPr="00632FFB" w:rsidRDefault="00D17F4A" w:rsidP="00D17F4A">
      <w:pPr>
        <w:pStyle w:val="Caption"/>
        <w:rPr>
          <w:rFonts w:ascii="Calibri" w:hAnsi="Calibri"/>
          <w:sz w:val="20"/>
          <w:szCs w:val="20"/>
        </w:rPr>
      </w:pPr>
      <w:r>
        <w:t xml:space="preserve">Table </w:t>
      </w:r>
      <w:fldSimple w:instr=" SEQ Table \* ARABIC ">
        <w:r>
          <w:rPr>
            <w:noProof/>
          </w:rPr>
          <w:t>2</w:t>
        </w:r>
      </w:fldSimple>
      <w:r>
        <w:t xml:space="preserve"> </w:t>
      </w:r>
      <w:r w:rsidRPr="008D567B">
        <w:t>Bipolar adjective pairs used to measure meaning of Academic Identity concepts</w:t>
      </w:r>
      <w:r w:rsidRPr="00632FFB">
        <w:rPr>
          <w:rFonts w:ascii="Calibri" w:hAnsi="Calibri"/>
          <w:sz w:val="20"/>
          <w:szCs w:val="20"/>
        </w:rPr>
        <w:t xml:space="preserve"> </w:t>
      </w:r>
    </w:p>
    <w:tbl>
      <w:tblPr>
        <w:tblStyle w:val="TableGrid"/>
        <w:tblW w:w="0" w:type="auto"/>
        <w:tblInd w:w="2093" w:type="dxa"/>
        <w:tblLook w:val="00A0" w:firstRow="1" w:lastRow="0" w:firstColumn="1" w:lastColumn="0" w:noHBand="0" w:noVBand="0"/>
      </w:tblPr>
      <w:tblGrid>
        <w:gridCol w:w="2165"/>
        <w:gridCol w:w="2087"/>
      </w:tblGrid>
      <w:tr w:rsidR="000C1352" w:rsidTr="000C1352">
        <w:tc>
          <w:tcPr>
            <w:tcW w:w="4252" w:type="dxa"/>
            <w:gridSpan w:val="2"/>
          </w:tcPr>
          <w:p w:rsidR="000C1352" w:rsidRPr="00733B0A" w:rsidRDefault="000C1352" w:rsidP="00224559">
            <w:pPr>
              <w:jc w:val="center"/>
              <w:rPr>
                <w:rFonts w:ascii="Calibri" w:hAnsi="Calibri"/>
              </w:rPr>
            </w:pPr>
            <w:r w:rsidRPr="00733B0A">
              <w:rPr>
                <w:rFonts w:ascii="Calibri" w:hAnsi="Calibri"/>
              </w:rPr>
              <w:t>Evaluation</w:t>
            </w:r>
          </w:p>
        </w:tc>
      </w:tr>
      <w:tr w:rsidR="000C1352" w:rsidTr="000C1352">
        <w:tc>
          <w:tcPr>
            <w:tcW w:w="2165" w:type="dxa"/>
            <w:tcBorders>
              <w:bottom w:val="nil"/>
            </w:tcBorders>
          </w:tcPr>
          <w:p w:rsidR="000C1352" w:rsidRPr="007F1D91" w:rsidRDefault="000C1352" w:rsidP="00224559">
            <w:pPr>
              <w:jc w:val="center"/>
              <w:rPr>
                <w:sz w:val="20"/>
                <w:szCs w:val="20"/>
              </w:rPr>
            </w:pPr>
            <w:r w:rsidRPr="007F1D91">
              <w:rPr>
                <w:sz w:val="20"/>
                <w:szCs w:val="20"/>
              </w:rPr>
              <w:t>valuable</w:t>
            </w:r>
          </w:p>
        </w:tc>
        <w:tc>
          <w:tcPr>
            <w:tcW w:w="2087" w:type="dxa"/>
            <w:tcBorders>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worthless</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pleasant</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unpleasant</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relaxed</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tense</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clear</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hazy</w:t>
            </w:r>
          </w:p>
        </w:tc>
      </w:tr>
      <w:tr w:rsidR="000C1352" w:rsidTr="000C1352">
        <w:tc>
          <w:tcPr>
            <w:tcW w:w="2165" w:type="dxa"/>
            <w:tcBorders>
              <w:top w:val="nil"/>
            </w:tcBorders>
          </w:tcPr>
          <w:p w:rsidR="000C1352" w:rsidRPr="007F1D91" w:rsidRDefault="000C1352" w:rsidP="00224559">
            <w:pPr>
              <w:jc w:val="center"/>
              <w:rPr>
                <w:sz w:val="20"/>
                <w:szCs w:val="20"/>
              </w:rPr>
            </w:pPr>
            <w:r w:rsidRPr="007F1D91">
              <w:rPr>
                <w:sz w:val="20"/>
                <w:szCs w:val="20"/>
              </w:rPr>
              <w:t>sociable</w:t>
            </w:r>
          </w:p>
        </w:tc>
        <w:tc>
          <w:tcPr>
            <w:tcW w:w="2087" w:type="dxa"/>
            <w:tcBorders>
              <w:top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unsociable</w:t>
            </w:r>
          </w:p>
        </w:tc>
      </w:tr>
      <w:tr w:rsidR="000C1352" w:rsidTr="000C1352">
        <w:tc>
          <w:tcPr>
            <w:tcW w:w="4252" w:type="dxa"/>
            <w:gridSpan w:val="2"/>
          </w:tcPr>
          <w:p w:rsidR="000C1352" w:rsidRPr="00733B0A" w:rsidRDefault="000C1352" w:rsidP="00224559">
            <w:pPr>
              <w:jc w:val="center"/>
              <w:rPr>
                <w:rFonts w:ascii="Calibri" w:hAnsi="Calibri"/>
              </w:rPr>
            </w:pPr>
            <w:r w:rsidRPr="00733B0A">
              <w:rPr>
                <w:rFonts w:ascii="Calibri" w:hAnsi="Calibri"/>
              </w:rPr>
              <w:t>Potency</w:t>
            </w:r>
          </w:p>
        </w:tc>
      </w:tr>
      <w:tr w:rsidR="000C1352" w:rsidTr="000C1352">
        <w:tc>
          <w:tcPr>
            <w:tcW w:w="2165" w:type="dxa"/>
            <w:tcBorders>
              <w:bottom w:val="nil"/>
            </w:tcBorders>
          </w:tcPr>
          <w:p w:rsidR="000C1352" w:rsidRPr="007F1D91" w:rsidRDefault="000C1352" w:rsidP="00224559">
            <w:pPr>
              <w:jc w:val="center"/>
              <w:rPr>
                <w:sz w:val="20"/>
                <w:szCs w:val="20"/>
              </w:rPr>
            </w:pPr>
            <w:r w:rsidRPr="007F1D91">
              <w:rPr>
                <w:sz w:val="20"/>
                <w:szCs w:val="20"/>
              </w:rPr>
              <w:t>dominant</w:t>
            </w:r>
          </w:p>
        </w:tc>
        <w:tc>
          <w:tcPr>
            <w:tcW w:w="2087" w:type="dxa"/>
            <w:tcBorders>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submissive</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masculine</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feminine</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alive</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dead</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deep</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shallow</w:t>
            </w:r>
          </w:p>
        </w:tc>
      </w:tr>
      <w:tr w:rsidR="000C1352" w:rsidTr="000C1352">
        <w:tc>
          <w:tcPr>
            <w:tcW w:w="2165" w:type="dxa"/>
            <w:tcBorders>
              <w:top w:val="nil"/>
            </w:tcBorders>
          </w:tcPr>
          <w:p w:rsidR="000C1352" w:rsidRPr="007F1D91" w:rsidRDefault="000C1352" w:rsidP="00224559">
            <w:pPr>
              <w:jc w:val="center"/>
              <w:rPr>
                <w:sz w:val="20"/>
                <w:szCs w:val="20"/>
              </w:rPr>
            </w:pPr>
            <w:r w:rsidRPr="007F1D91">
              <w:rPr>
                <w:sz w:val="20"/>
                <w:szCs w:val="20"/>
              </w:rPr>
              <w:t>large</w:t>
            </w:r>
          </w:p>
        </w:tc>
        <w:tc>
          <w:tcPr>
            <w:tcW w:w="2087" w:type="dxa"/>
            <w:tcBorders>
              <w:top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small</w:t>
            </w:r>
          </w:p>
        </w:tc>
      </w:tr>
      <w:tr w:rsidR="000C1352" w:rsidTr="000C1352">
        <w:tc>
          <w:tcPr>
            <w:tcW w:w="4252" w:type="dxa"/>
            <w:gridSpan w:val="2"/>
          </w:tcPr>
          <w:p w:rsidR="000C1352" w:rsidRPr="00733B0A" w:rsidRDefault="000C1352" w:rsidP="00224559">
            <w:pPr>
              <w:jc w:val="center"/>
              <w:rPr>
                <w:rFonts w:ascii="Calibri" w:hAnsi="Calibri"/>
              </w:rPr>
            </w:pPr>
            <w:r w:rsidRPr="00733B0A">
              <w:rPr>
                <w:rFonts w:ascii="Calibri" w:hAnsi="Calibri"/>
              </w:rPr>
              <w:t>Activity</w:t>
            </w:r>
          </w:p>
        </w:tc>
      </w:tr>
      <w:tr w:rsidR="000C1352" w:rsidTr="000C1352">
        <w:tc>
          <w:tcPr>
            <w:tcW w:w="2165" w:type="dxa"/>
            <w:tcBorders>
              <w:bottom w:val="nil"/>
            </w:tcBorders>
          </w:tcPr>
          <w:p w:rsidR="000C1352" w:rsidRPr="007F1D91" w:rsidRDefault="000C1352" w:rsidP="00224559">
            <w:pPr>
              <w:jc w:val="center"/>
              <w:rPr>
                <w:sz w:val="20"/>
                <w:szCs w:val="20"/>
              </w:rPr>
            </w:pPr>
            <w:r w:rsidRPr="007F1D91">
              <w:rPr>
                <w:sz w:val="20"/>
                <w:szCs w:val="20"/>
              </w:rPr>
              <w:t>complex</w:t>
            </w:r>
          </w:p>
        </w:tc>
        <w:tc>
          <w:tcPr>
            <w:tcW w:w="2087" w:type="dxa"/>
            <w:tcBorders>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simple</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active</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passive</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emotional</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unemotional</w:t>
            </w:r>
          </w:p>
        </w:tc>
      </w:tr>
      <w:tr w:rsidR="000C1352" w:rsidTr="000C1352">
        <w:tc>
          <w:tcPr>
            <w:tcW w:w="2165" w:type="dxa"/>
            <w:tcBorders>
              <w:top w:val="nil"/>
              <w:bottom w:val="nil"/>
            </w:tcBorders>
          </w:tcPr>
          <w:p w:rsidR="000C1352" w:rsidRPr="007F1D91" w:rsidRDefault="000C1352" w:rsidP="00224559">
            <w:pPr>
              <w:jc w:val="center"/>
              <w:rPr>
                <w:sz w:val="20"/>
                <w:szCs w:val="20"/>
              </w:rPr>
            </w:pPr>
            <w:r w:rsidRPr="007F1D91">
              <w:rPr>
                <w:sz w:val="20"/>
                <w:szCs w:val="20"/>
              </w:rPr>
              <w:t>severe</w:t>
            </w:r>
          </w:p>
        </w:tc>
        <w:tc>
          <w:tcPr>
            <w:tcW w:w="2087" w:type="dxa"/>
            <w:tcBorders>
              <w:top w:val="nil"/>
              <w:bottom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lenient</w:t>
            </w:r>
          </w:p>
        </w:tc>
      </w:tr>
      <w:tr w:rsidR="000C1352" w:rsidTr="000C1352">
        <w:tc>
          <w:tcPr>
            <w:tcW w:w="2165" w:type="dxa"/>
            <w:tcBorders>
              <w:top w:val="nil"/>
            </w:tcBorders>
          </w:tcPr>
          <w:p w:rsidR="000C1352" w:rsidRPr="007F1D91" w:rsidRDefault="000C1352" w:rsidP="00224559">
            <w:pPr>
              <w:jc w:val="center"/>
              <w:rPr>
                <w:sz w:val="20"/>
                <w:szCs w:val="20"/>
              </w:rPr>
            </w:pPr>
            <w:r w:rsidRPr="007F1D91">
              <w:rPr>
                <w:sz w:val="20"/>
                <w:szCs w:val="20"/>
              </w:rPr>
              <w:t>dynamic</w:t>
            </w:r>
          </w:p>
        </w:tc>
        <w:tc>
          <w:tcPr>
            <w:tcW w:w="2087" w:type="dxa"/>
            <w:tcBorders>
              <w:top w:val="nil"/>
            </w:tcBorders>
          </w:tcPr>
          <w:p w:rsidR="000C1352" w:rsidRPr="00733B0A" w:rsidRDefault="000C1352" w:rsidP="00224559">
            <w:pPr>
              <w:jc w:val="center"/>
              <w:rPr>
                <w:rFonts w:ascii="Calibri" w:hAnsi="Calibri"/>
                <w:sz w:val="20"/>
                <w:szCs w:val="20"/>
              </w:rPr>
            </w:pPr>
            <w:r w:rsidRPr="00733B0A">
              <w:rPr>
                <w:rFonts w:ascii="Calibri" w:hAnsi="Calibri"/>
                <w:sz w:val="20"/>
                <w:szCs w:val="20"/>
              </w:rPr>
              <w:t>static</w:t>
            </w:r>
          </w:p>
        </w:tc>
      </w:tr>
    </w:tbl>
    <w:p w:rsidR="00D17F4A" w:rsidRDefault="00D17F4A" w:rsidP="00D17F4A">
      <w:pPr>
        <w:pStyle w:val="Caption"/>
      </w:pPr>
    </w:p>
    <w:p w:rsidR="008A7796" w:rsidRDefault="00D17F4A" w:rsidP="00D17F4A">
      <w:pPr>
        <w:pStyle w:val="Caption"/>
      </w:pPr>
      <w:bookmarkStart w:id="0" w:name="_Ref402637609"/>
      <w:r>
        <w:t xml:space="preserve">Table </w:t>
      </w:r>
      <w:fldSimple w:instr=" SEQ Table \* ARABIC ">
        <w:r>
          <w:rPr>
            <w:noProof/>
          </w:rPr>
          <w:t>3</w:t>
        </w:r>
      </w:fldSimple>
      <w:bookmarkEnd w:id="0"/>
      <w:r>
        <w:t xml:space="preserve"> Biographical data from the semantic differential questionnaire</w:t>
      </w:r>
    </w:p>
    <w:tbl>
      <w:tblPr>
        <w:tblStyle w:val="TableGrid"/>
        <w:tblW w:w="0" w:type="auto"/>
        <w:tblInd w:w="1101" w:type="dxa"/>
        <w:tblLook w:val="04A0" w:firstRow="1" w:lastRow="0" w:firstColumn="1" w:lastColumn="0" w:noHBand="0" w:noVBand="1"/>
      </w:tblPr>
      <w:tblGrid>
        <w:gridCol w:w="1979"/>
        <w:gridCol w:w="2557"/>
        <w:gridCol w:w="2268"/>
      </w:tblGrid>
      <w:tr w:rsidR="00727C6A" w:rsidTr="00D17F4A">
        <w:tc>
          <w:tcPr>
            <w:tcW w:w="1979" w:type="dxa"/>
          </w:tcPr>
          <w:p w:rsidR="00727C6A" w:rsidRPr="00727C6A" w:rsidRDefault="00727C6A" w:rsidP="00727C6A">
            <w:pPr>
              <w:rPr>
                <w:sz w:val="20"/>
                <w:szCs w:val="20"/>
              </w:rPr>
            </w:pPr>
            <w:r w:rsidRPr="00727C6A">
              <w:rPr>
                <w:sz w:val="20"/>
                <w:szCs w:val="20"/>
              </w:rPr>
              <w:t>Type of contract (research/teaching)</w:t>
            </w:r>
          </w:p>
        </w:tc>
        <w:tc>
          <w:tcPr>
            <w:tcW w:w="2557" w:type="dxa"/>
          </w:tcPr>
          <w:p w:rsidR="00727C6A" w:rsidRPr="00727C6A" w:rsidRDefault="00727C6A" w:rsidP="00727C6A">
            <w:pPr>
              <w:rPr>
                <w:sz w:val="20"/>
                <w:szCs w:val="20"/>
              </w:rPr>
            </w:pPr>
            <w:r>
              <w:rPr>
                <w:sz w:val="20"/>
                <w:szCs w:val="20"/>
              </w:rPr>
              <w:t>Inclusion in Research Excellence Framework</w:t>
            </w:r>
          </w:p>
        </w:tc>
        <w:tc>
          <w:tcPr>
            <w:tcW w:w="2268" w:type="dxa"/>
          </w:tcPr>
          <w:p w:rsidR="00727C6A" w:rsidRPr="00727C6A" w:rsidRDefault="00727C6A" w:rsidP="00727C6A">
            <w:pPr>
              <w:rPr>
                <w:sz w:val="20"/>
                <w:szCs w:val="20"/>
              </w:rPr>
            </w:pPr>
            <w:r>
              <w:rPr>
                <w:sz w:val="20"/>
                <w:szCs w:val="20"/>
              </w:rPr>
              <w:t>Type of institution</w:t>
            </w:r>
          </w:p>
        </w:tc>
      </w:tr>
      <w:tr w:rsidR="00727C6A" w:rsidTr="00D17F4A">
        <w:tc>
          <w:tcPr>
            <w:tcW w:w="1979" w:type="dxa"/>
          </w:tcPr>
          <w:p w:rsidR="00727C6A" w:rsidRPr="00727C6A" w:rsidRDefault="00727C6A" w:rsidP="00727C6A">
            <w:pPr>
              <w:rPr>
                <w:sz w:val="20"/>
                <w:szCs w:val="20"/>
              </w:rPr>
            </w:pPr>
            <w:r>
              <w:rPr>
                <w:sz w:val="20"/>
                <w:szCs w:val="20"/>
              </w:rPr>
              <w:t>Sex</w:t>
            </w:r>
          </w:p>
        </w:tc>
        <w:tc>
          <w:tcPr>
            <w:tcW w:w="2557" w:type="dxa"/>
          </w:tcPr>
          <w:p w:rsidR="00727C6A" w:rsidRPr="00727C6A" w:rsidRDefault="00727C6A" w:rsidP="00727C6A">
            <w:pPr>
              <w:rPr>
                <w:sz w:val="20"/>
                <w:szCs w:val="20"/>
              </w:rPr>
            </w:pPr>
            <w:r>
              <w:rPr>
                <w:sz w:val="20"/>
                <w:szCs w:val="20"/>
              </w:rPr>
              <w:t>Leadership role</w:t>
            </w:r>
          </w:p>
        </w:tc>
        <w:tc>
          <w:tcPr>
            <w:tcW w:w="2268" w:type="dxa"/>
          </w:tcPr>
          <w:p w:rsidR="00727C6A" w:rsidRPr="00727C6A" w:rsidRDefault="00727C6A" w:rsidP="00727C6A">
            <w:pPr>
              <w:rPr>
                <w:sz w:val="20"/>
                <w:szCs w:val="20"/>
              </w:rPr>
            </w:pPr>
            <w:r>
              <w:rPr>
                <w:sz w:val="20"/>
                <w:szCs w:val="20"/>
              </w:rPr>
              <w:t>Former HEA Centre for Bioscience Rep</w:t>
            </w:r>
          </w:p>
        </w:tc>
      </w:tr>
      <w:tr w:rsidR="00727C6A" w:rsidTr="00D17F4A">
        <w:tc>
          <w:tcPr>
            <w:tcW w:w="1979" w:type="dxa"/>
          </w:tcPr>
          <w:p w:rsidR="00727C6A" w:rsidRPr="00727C6A" w:rsidRDefault="00727C6A" w:rsidP="00727C6A">
            <w:pPr>
              <w:rPr>
                <w:sz w:val="20"/>
                <w:szCs w:val="20"/>
              </w:rPr>
            </w:pPr>
            <w:r>
              <w:rPr>
                <w:sz w:val="20"/>
                <w:szCs w:val="20"/>
              </w:rPr>
              <w:t>SoTL in contract</w:t>
            </w:r>
          </w:p>
        </w:tc>
        <w:tc>
          <w:tcPr>
            <w:tcW w:w="2557" w:type="dxa"/>
          </w:tcPr>
          <w:p w:rsidR="00727C6A" w:rsidRPr="00727C6A" w:rsidRDefault="00727C6A" w:rsidP="00727C6A">
            <w:pPr>
              <w:rPr>
                <w:sz w:val="20"/>
                <w:szCs w:val="20"/>
              </w:rPr>
            </w:pPr>
            <w:r>
              <w:rPr>
                <w:sz w:val="20"/>
                <w:szCs w:val="20"/>
              </w:rPr>
              <w:t>Active engagement in SoTL</w:t>
            </w:r>
          </w:p>
        </w:tc>
        <w:tc>
          <w:tcPr>
            <w:tcW w:w="2268" w:type="dxa"/>
          </w:tcPr>
          <w:p w:rsidR="00727C6A" w:rsidRPr="00727C6A" w:rsidRDefault="00727C6A" w:rsidP="00727C6A">
            <w:pPr>
              <w:rPr>
                <w:sz w:val="20"/>
                <w:szCs w:val="20"/>
              </w:rPr>
            </w:pPr>
            <w:r>
              <w:rPr>
                <w:sz w:val="20"/>
                <w:szCs w:val="20"/>
              </w:rPr>
              <w:t>Teaching Award</w:t>
            </w:r>
          </w:p>
        </w:tc>
      </w:tr>
    </w:tbl>
    <w:p w:rsidR="00D90F4B" w:rsidRDefault="00D90F4B" w:rsidP="00BE3768">
      <w:pPr>
        <w:spacing w:before="240" w:line="480" w:lineRule="auto"/>
      </w:pPr>
      <w:r>
        <w:lastRenderedPageBreak/>
        <w:t xml:space="preserve">Data was analysed using the Mann-Whitney U Test </w:t>
      </w:r>
      <w:r>
        <w:fldChar w:fldCharType="begin"/>
      </w:r>
      <w:r w:rsidR="0009226D">
        <w:instrText xml:space="preserve"> ADDIN ZOTERO_ITEM CSL_CITATION {"citationID":"s1ocegrp0","properties":{"formattedCitation":"(Mann &amp; Whitney, 1947)","plainCitation":"(Mann &amp; Whitney, 1947)"},"citationItems":[{"id":210,"uris":["http://zotero.org/users/386570/items/QHRQFUE8"],"uri":["http://zotero.org/users/386570/items/QHRQFUE8"],"itemData":{"id":210,"type":"article-journal","title":"On a Test of Whether one of Two Random Variables is Stochastically Larger than the Other","container-title":"Annals of Mathematical Statistics","page":"50-60","volume":"18","issue":"1","author":[{"family":"Mann","given":"Henry B."},{"family":"Whitney","given":"Donald R."}],"issued":{"date-parts":[["1947"]]}}}],"schema":"https://github.com/citation-style-language/schema/raw/master/csl-citation.json"} </w:instrText>
      </w:r>
      <w:r>
        <w:fldChar w:fldCharType="separate"/>
      </w:r>
      <w:r w:rsidRPr="00D90F4B">
        <w:rPr>
          <w:rFonts w:ascii="Calibri" w:hAnsi="Calibri"/>
        </w:rPr>
        <w:t>(Mann &amp; Whitney, 1947)</w:t>
      </w:r>
      <w:r>
        <w:fldChar w:fldCharType="end"/>
      </w:r>
      <w:r>
        <w:t xml:space="preserve"> and Effect Size (d) </w:t>
      </w:r>
      <w:r>
        <w:fldChar w:fldCharType="begin"/>
      </w:r>
      <w:r w:rsidR="0009226D">
        <w:instrText xml:space="preserve"> ADDIN ZOTERO_ITEM CSL_CITATION {"citationID":"15h5tjpbn8","properties":{"formattedCitation":"(Cohen, 1998)","plainCitation":"(Cohen, 1998)"},"citationItems":[{"id":233,"uris":["http://zotero.org/users/386570/items/T8289XCU"],"uri":["http://zotero.org/users/386570/items/T8289XCU"],"itemData":{"id":233,"type":"book","title":"Statistical power analysis for the behavioural sciences","publisher":"Erlbaum","publisher-place":"New York","edition":"2nd","event-place":"New York","author":[{"family":"Cohen","given":"J."}],"issued":{"date-parts":[["1998"]]}}}],"schema":"https://github.com/citation-style-language/schema/raw/master/csl-citation.json"} </w:instrText>
      </w:r>
      <w:r>
        <w:fldChar w:fldCharType="separate"/>
      </w:r>
      <w:r w:rsidRPr="00D90F4B">
        <w:rPr>
          <w:rFonts w:ascii="Calibri" w:hAnsi="Calibri"/>
        </w:rPr>
        <w:t>(Cohen, 1998)</w:t>
      </w:r>
      <w:r>
        <w:fldChar w:fldCharType="end"/>
      </w:r>
      <w:r>
        <w:t xml:space="preserve">. Statistical significance was accepted when both p&lt;0.05 and d&gt;0.5 </w:t>
      </w:r>
      <w:r>
        <w:fldChar w:fldCharType="begin"/>
      </w:r>
      <w:r w:rsidR="0009226D">
        <w:instrText xml:space="preserve"> ADDIN ZOTERO_ITEM CSL_CITATION {"citationID":"1faicrd9lt","properties":{"formattedCitation":"(Fan, 2001)","plainCitation":"(Fan, 2001)"},"citationItems":[{"id":279,"uris":["http://zotero.org/users/386570/items/Z4CFERS2"],"uri":["http://zotero.org/users/386570/items/Z4CFERS2"],"itemData":{"id":279,"type":"article-journal","title":"Statistical Significance and Effect Size in Education Research: Two Sides of a Coin","container-title":"The Journal of Educational Research","page":"275-282","volume":"94","issue":"5","author":[{"family":"Fan","given":"Xitao"}],"issued":{"date-parts":[["2001"]]}}}],"schema":"https://github.com/citation-style-language/schema/raw/master/csl-citation.json"} </w:instrText>
      </w:r>
      <w:r>
        <w:fldChar w:fldCharType="separate"/>
      </w:r>
      <w:r w:rsidRPr="00D90F4B">
        <w:rPr>
          <w:rFonts w:ascii="Calibri" w:hAnsi="Calibri"/>
        </w:rPr>
        <w:t>(Fan, 2001)</w:t>
      </w:r>
      <w:r>
        <w:fldChar w:fldCharType="end"/>
      </w:r>
      <w:r>
        <w:t>.</w:t>
      </w:r>
    </w:p>
    <w:p w:rsidR="00D17F4A" w:rsidRDefault="00E15F1A" w:rsidP="00D17F4A">
      <w:pPr>
        <w:spacing w:before="240" w:line="480" w:lineRule="auto"/>
      </w:pPr>
      <w:r>
        <w:t>Participants were asked to indicate willingness to take part in an interview</w:t>
      </w:r>
      <w:r w:rsidR="008A7796">
        <w:t xml:space="preserve"> during completion of the survey</w:t>
      </w:r>
      <w:r>
        <w:t>. Twenty</w:t>
      </w:r>
      <w:r w:rsidR="00BD1368">
        <w:t xml:space="preserve"> one</w:t>
      </w:r>
      <w:r>
        <w:t xml:space="preserve"> a</w:t>
      </w:r>
      <w:r w:rsidR="00D26532">
        <w:t>cademics were interviewed.</w:t>
      </w:r>
      <w:r w:rsidR="007E0950">
        <w:t xml:space="preserve"> </w:t>
      </w:r>
      <w:r w:rsidR="00D26532">
        <w:t>I</w:t>
      </w:r>
      <w:r>
        <w:t>n</w:t>
      </w:r>
      <w:r w:rsidR="00D26532">
        <w:t>terviews were fully transcribed</w:t>
      </w:r>
      <w:r>
        <w:t xml:space="preserve"> and the transcripts were interrogated</w:t>
      </w:r>
      <w:r w:rsidR="00D26532">
        <w:t xml:space="preserve"> to</w:t>
      </w:r>
      <w:r>
        <w:t xml:space="preserve"> </w:t>
      </w:r>
      <w:r w:rsidR="007E0950">
        <w:t xml:space="preserve">determine the level at which interviewees operated for each of </w:t>
      </w:r>
      <w:proofErr w:type="spellStart"/>
      <w:r w:rsidR="00BE3768">
        <w:t>Trigwell</w:t>
      </w:r>
      <w:proofErr w:type="spellEnd"/>
      <w:r w:rsidR="00BE3768">
        <w:t xml:space="preserve">, Martin, Benjamin and Prosser’s </w:t>
      </w:r>
      <w:r w:rsidR="00BE3768">
        <w:fldChar w:fldCharType="begin"/>
      </w:r>
      <w:r w:rsidR="0009226D">
        <w:instrText xml:space="preserve"> ADDIN ZOTERO_ITEM CSL_CITATION {"citationID":"1uddnajreg","properties":{"formattedCitation":"(2000)","plainCitation":"(2000)"},"citationItems":[{"id":104,"uris":["http://zotero.org/users/386570/items/CFNXGIMZ"],"uri":["http://zotero.org/users/386570/items/CFNXGIMZ"],"itemData":{"id":104,"type":"article-journal","title":"Scholarship of Teaching: a model","container-title":"Higher Education Research &amp; Development","page":"155-168","volume":"19","issue":"2","source":"EBSCOhost","abstract":"In this paper we present a model which describes the scholarship of teaching. We first explore what scholarship of teaching means, both in terms of the way it is represented in the literature and also the way it is understood by academic staff themselves. From this information, we derive a multi-dimensional model of scholarship of teaching which captures the variation found in the literature and empirical studies. In the final section, we illustrate how the model is used in informing the design of programs for development of the scholarship of teaching in universities. [ABSTRACT FROM AUTHOR]\nCopyright of Higher Education Research &amp; Development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Abstracts.)","ISSN":"07294360","call-number":"3839399","shortTitle":"Scholarship of Teaching","author":[{"family":"Trigwell","given":"Keith"},{"family":"Martin","given":"Elaine"},{"family":"Benjamin","given":"Joan"},{"family":"Prosser","given":"Mike"}],"issued":{"date-parts":[["2000",7]]}},"suppress-author":true}],"schema":"https://github.com/citation-style-language/schema/raw/master/csl-citation.json"} </w:instrText>
      </w:r>
      <w:r w:rsidR="00BE3768">
        <w:fldChar w:fldCharType="separate"/>
      </w:r>
      <w:r w:rsidR="00BE3768" w:rsidRPr="00BE3768">
        <w:rPr>
          <w:rFonts w:ascii="Calibri" w:hAnsi="Calibri"/>
        </w:rPr>
        <w:t>(2000)</w:t>
      </w:r>
      <w:r w:rsidR="00BE3768">
        <w:fldChar w:fldCharType="end"/>
      </w:r>
      <w:r w:rsidR="00BE3768">
        <w:t xml:space="preserve"> </w:t>
      </w:r>
      <w:r w:rsidR="007E0950">
        <w:t xml:space="preserve">dimensions proposed in their </w:t>
      </w:r>
      <w:r w:rsidR="00BE3768">
        <w:t>Model of Sc</w:t>
      </w:r>
      <w:r w:rsidR="007E0950">
        <w:t>holarship (</w:t>
      </w:r>
      <w:r w:rsidR="00D17F4A">
        <w:fldChar w:fldCharType="begin"/>
      </w:r>
      <w:r w:rsidR="00D17F4A">
        <w:instrText xml:space="preserve"> REF _Ref402637695 \h </w:instrText>
      </w:r>
      <w:r w:rsidR="00D17F4A">
        <w:fldChar w:fldCharType="separate"/>
      </w:r>
      <w:r w:rsidR="00D17F4A">
        <w:t xml:space="preserve">Table </w:t>
      </w:r>
      <w:r w:rsidR="00D17F4A">
        <w:rPr>
          <w:noProof/>
        </w:rPr>
        <w:t>4</w:t>
      </w:r>
      <w:r w:rsidR="00D17F4A">
        <w:fldChar w:fldCharType="end"/>
      </w:r>
      <w:r w:rsidR="007E0950">
        <w:t xml:space="preserve">), </w:t>
      </w:r>
      <w:r w:rsidR="00BE3768">
        <w:t>(</w:t>
      </w:r>
      <w:r w:rsidR="00BE3768" w:rsidRPr="007020AA">
        <w:rPr>
          <w:i/>
        </w:rPr>
        <w:t>Informed, Reflection, Communication, Conception</w:t>
      </w:r>
      <w:r w:rsidR="00BE3768">
        <w:t>)</w:t>
      </w:r>
      <w:r w:rsidR="00D17F4A">
        <w:t>.</w:t>
      </w:r>
    </w:p>
    <w:p w:rsidR="005761EE" w:rsidRPr="00D17F4A" w:rsidRDefault="00D17F4A" w:rsidP="00D17F4A">
      <w:pPr>
        <w:pStyle w:val="Caption"/>
        <w:rPr>
          <w:sz w:val="22"/>
          <w:szCs w:val="22"/>
        </w:rPr>
      </w:pPr>
      <w:bookmarkStart w:id="1" w:name="_Ref402637695"/>
      <w:r>
        <w:t xml:space="preserve">Table </w:t>
      </w:r>
      <w:fldSimple w:instr=" SEQ Table \* ARABIC ">
        <w:r>
          <w:rPr>
            <w:noProof/>
          </w:rPr>
          <w:t>4</w:t>
        </w:r>
      </w:fldSimple>
      <w:bookmarkEnd w:id="1"/>
      <w:r>
        <w:t xml:space="preserve"> </w:t>
      </w:r>
      <w:r w:rsidRPr="008E53B3">
        <w:t>Four dimensions of scholarship of teaching (</w:t>
      </w:r>
      <w:proofErr w:type="spellStart"/>
      <w:r w:rsidRPr="008E53B3">
        <w:t>Trigwell</w:t>
      </w:r>
      <w:proofErr w:type="spellEnd"/>
      <w:r w:rsidRPr="008E53B3">
        <w:t xml:space="preserve"> et al., 2000, p. 163)</w:t>
      </w:r>
      <w:r w:rsidR="00404C32" w:rsidRPr="00BE3768">
        <w:t xml:space="preserve"> </w:t>
      </w:r>
    </w:p>
    <w:tbl>
      <w:tblPr>
        <w:tblStyle w:val="TableGrid"/>
        <w:tblW w:w="0" w:type="auto"/>
        <w:tblLook w:val="04A0" w:firstRow="1" w:lastRow="0" w:firstColumn="1" w:lastColumn="0" w:noHBand="0" w:noVBand="1"/>
      </w:tblPr>
      <w:tblGrid>
        <w:gridCol w:w="689"/>
        <w:gridCol w:w="1687"/>
        <w:gridCol w:w="1701"/>
        <w:gridCol w:w="2410"/>
        <w:gridCol w:w="2029"/>
      </w:tblGrid>
      <w:tr w:rsidR="005761EE" w:rsidTr="00224559">
        <w:tc>
          <w:tcPr>
            <w:tcW w:w="689" w:type="dxa"/>
          </w:tcPr>
          <w:p w:rsidR="005761EE" w:rsidRPr="00BE3768" w:rsidRDefault="005761EE"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Level</w:t>
            </w:r>
          </w:p>
        </w:tc>
        <w:tc>
          <w:tcPr>
            <w:tcW w:w="1687" w:type="dxa"/>
          </w:tcPr>
          <w:p w:rsidR="005761EE" w:rsidRPr="00BE3768" w:rsidRDefault="005761EE"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Informed (ID)</w:t>
            </w:r>
          </w:p>
        </w:tc>
        <w:tc>
          <w:tcPr>
            <w:tcW w:w="1701" w:type="dxa"/>
          </w:tcPr>
          <w:p w:rsidR="005761EE" w:rsidRPr="00BE3768" w:rsidRDefault="005761EE"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Reflection (RD)</w:t>
            </w:r>
          </w:p>
        </w:tc>
        <w:tc>
          <w:tcPr>
            <w:tcW w:w="2410" w:type="dxa"/>
          </w:tcPr>
          <w:p w:rsidR="005761EE" w:rsidRPr="00BE3768" w:rsidRDefault="005761EE"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Communication (</w:t>
            </w:r>
            <w:proofErr w:type="spellStart"/>
            <w:r w:rsidRPr="00BE3768">
              <w:rPr>
                <w:rFonts w:asciiTheme="minorHAnsi" w:hAnsiTheme="minorHAnsi"/>
                <w:sz w:val="22"/>
                <w:szCs w:val="22"/>
                <w:lang w:val="en-GB"/>
              </w:rPr>
              <w:t>ComD</w:t>
            </w:r>
            <w:proofErr w:type="spellEnd"/>
            <w:r w:rsidRPr="00BE3768">
              <w:rPr>
                <w:rFonts w:asciiTheme="minorHAnsi" w:hAnsiTheme="minorHAnsi"/>
                <w:sz w:val="22"/>
                <w:szCs w:val="22"/>
                <w:lang w:val="en-GB"/>
              </w:rPr>
              <w:t>)</w:t>
            </w:r>
          </w:p>
        </w:tc>
        <w:tc>
          <w:tcPr>
            <w:tcW w:w="2029" w:type="dxa"/>
          </w:tcPr>
          <w:p w:rsidR="005761EE" w:rsidRPr="00BE3768" w:rsidRDefault="005761EE"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Conception (</w:t>
            </w:r>
            <w:proofErr w:type="spellStart"/>
            <w:r w:rsidRPr="00BE3768">
              <w:rPr>
                <w:rFonts w:asciiTheme="minorHAnsi" w:hAnsiTheme="minorHAnsi"/>
                <w:sz w:val="22"/>
                <w:szCs w:val="22"/>
                <w:lang w:val="en-GB"/>
              </w:rPr>
              <w:t>ConD</w:t>
            </w:r>
            <w:proofErr w:type="spellEnd"/>
            <w:r w:rsidRPr="00BE3768">
              <w:rPr>
                <w:rFonts w:asciiTheme="minorHAnsi" w:hAnsiTheme="minorHAnsi"/>
                <w:sz w:val="22"/>
                <w:szCs w:val="22"/>
                <w:lang w:val="en-GB"/>
              </w:rPr>
              <w:t>)</w:t>
            </w:r>
          </w:p>
        </w:tc>
      </w:tr>
      <w:tr w:rsidR="005761EE" w:rsidTr="00224559">
        <w:tc>
          <w:tcPr>
            <w:tcW w:w="689" w:type="dxa"/>
          </w:tcPr>
          <w:p w:rsidR="005761EE" w:rsidRPr="00BE3768" w:rsidRDefault="005761EE"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1</w:t>
            </w:r>
          </w:p>
        </w:tc>
        <w:tc>
          <w:tcPr>
            <w:tcW w:w="1687" w:type="dxa"/>
          </w:tcPr>
          <w:p w:rsidR="005761EE" w:rsidRPr="00BE3768" w:rsidRDefault="005761EE"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Uses informal theories of teaching and learning</w:t>
            </w:r>
          </w:p>
        </w:tc>
        <w:tc>
          <w:tcPr>
            <w:tcW w:w="1701" w:type="dxa"/>
          </w:tcPr>
          <w:p w:rsidR="005761EE" w:rsidRPr="00BE3768" w:rsidRDefault="005761EE"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Effectively none, or unfocused reflection</w:t>
            </w:r>
          </w:p>
        </w:tc>
        <w:tc>
          <w:tcPr>
            <w:tcW w:w="2410" w:type="dxa"/>
          </w:tcPr>
          <w:p w:rsidR="005761EE" w:rsidRPr="00BE3768" w:rsidRDefault="005761EE" w:rsidP="00224559">
            <w:pPr>
              <w:rPr>
                <w:sz w:val="22"/>
                <w:szCs w:val="22"/>
                <w:lang w:val="en-GB"/>
              </w:rPr>
            </w:pPr>
            <w:r w:rsidRPr="00BE3768">
              <w:rPr>
                <w:sz w:val="22"/>
                <w:szCs w:val="22"/>
                <w:lang w:val="en-GB"/>
              </w:rPr>
              <w:t>none</w:t>
            </w:r>
          </w:p>
          <w:p w:rsidR="005761EE" w:rsidRPr="00BE3768" w:rsidRDefault="005761EE" w:rsidP="00224559">
            <w:pPr>
              <w:pStyle w:val="Heading2"/>
              <w:spacing w:before="2" w:after="2"/>
              <w:outlineLvl w:val="1"/>
              <w:rPr>
                <w:rFonts w:asciiTheme="minorHAnsi" w:hAnsiTheme="minorHAnsi"/>
                <w:b w:val="0"/>
                <w:sz w:val="22"/>
                <w:szCs w:val="22"/>
                <w:lang w:val="en-GB"/>
              </w:rPr>
            </w:pPr>
          </w:p>
        </w:tc>
        <w:tc>
          <w:tcPr>
            <w:tcW w:w="2029" w:type="dxa"/>
          </w:tcPr>
          <w:p w:rsidR="005761EE" w:rsidRPr="00BE3768" w:rsidRDefault="005761EE" w:rsidP="00224559">
            <w:pPr>
              <w:rPr>
                <w:sz w:val="22"/>
                <w:szCs w:val="22"/>
                <w:lang w:val="en-GB"/>
              </w:rPr>
            </w:pPr>
            <w:r w:rsidRPr="00BE3768">
              <w:rPr>
                <w:sz w:val="22"/>
                <w:szCs w:val="22"/>
                <w:lang w:val="en-GB"/>
              </w:rPr>
              <w:t>Sees teaching in a teacher-focused way</w:t>
            </w:r>
          </w:p>
          <w:p w:rsidR="005761EE" w:rsidRPr="00BE3768" w:rsidRDefault="005761EE" w:rsidP="00224559">
            <w:pPr>
              <w:pStyle w:val="Heading2"/>
              <w:spacing w:before="2" w:after="2"/>
              <w:outlineLvl w:val="1"/>
              <w:rPr>
                <w:rFonts w:asciiTheme="minorHAnsi" w:hAnsiTheme="minorHAnsi"/>
                <w:b w:val="0"/>
                <w:sz w:val="22"/>
                <w:szCs w:val="22"/>
                <w:lang w:val="en-GB"/>
              </w:rPr>
            </w:pPr>
          </w:p>
        </w:tc>
      </w:tr>
      <w:tr w:rsidR="005761EE" w:rsidTr="00224559">
        <w:tc>
          <w:tcPr>
            <w:tcW w:w="689" w:type="dxa"/>
          </w:tcPr>
          <w:p w:rsidR="005761EE" w:rsidRPr="00BE3768" w:rsidRDefault="005761EE"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2</w:t>
            </w:r>
          </w:p>
        </w:tc>
        <w:tc>
          <w:tcPr>
            <w:tcW w:w="1687" w:type="dxa"/>
          </w:tcPr>
          <w:p w:rsidR="005761EE" w:rsidRPr="00BE3768" w:rsidRDefault="005761EE"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Engages with the literature of teaching and learning generally</w:t>
            </w:r>
          </w:p>
        </w:tc>
        <w:tc>
          <w:tcPr>
            <w:tcW w:w="1701" w:type="dxa"/>
          </w:tcPr>
          <w:p w:rsidR="005761EE" w:rsidRPr="00BE3768" w:rsidRDefault="005761EE" w:rsidP="00224559">
            <w:pPr>
              <w:pStyle w:val="Heading2"/>
              <w:spacing w:before="2" w:after="2"/>
              <w:outlineLvl w:val="1"/>
              <w:rPr>
                <w:rFonts w:asciiTheme="minorHAnsi" w:hAnsiTheme="minorHAnsi"/>
                <w:b w:val="0"/>
                <w:sz w:val="22"/>
                <w:szCs w:val="22"/>
                <w:lang w:val="en-GB"/>
              </w:rPr>
            </w:pPr>
          </w:p>
        </w:tc>
        <w:tc>
          <w:tcPr>
            <w:tcW w:w="2410" w:type="dxa"/>
          </w:tcPr>
          <w:p w:rsidR="005761EE" w:rsidRPr="00BE3768" w:rsidRDefault="005761EE" w:rsidP="00224559">
            <w:pPr>
              <w:rPr>
                <w:sz w:val="22"/>
                <w:szCs w:val="22"/>
                <w:lang w:val="en-GB"/>
              </w:rPr>
            </w:pPr>
            <w:r w:rsidRPr="00BE3768">
              <w:rPr>
                <w:sz w:val="22"/>
                <w:szCs w:val="22"/>
                <w:lang w:val="en-GB"/>
              </w:rPr>
              <w:t>Communicates with departmental/faculty peers (tearoom conversations; departmental seminars)</w:t>
            </w:r>
          </w:p>
        </w:tc>
        <w:tc>
          <w:tcPr>
            <w:tcW w:w="2029" w:type="dxa"/>
          </w:tcPr>
          <w:p w:rsidR="005761EE" w:rsidRPr="00BE3768" w:rsidRDefault="005761EE" w:rsidP="00224559">
            <w:pPr>
              <w:pStyle w:val="Heading2"/>
              <w:spacing w:before="2" w:after="2"/>
              <w:outlineLvl w:val="1"/>
              <w:rPr>
                <w:rFonts w:asciiTheme="minorHAnsi" w:hAnsiTheme="minorHAnsi"/>
                <w:b w:val="0"/>
                <w:sz w:val="22"/>
                <w:szCs w:val="22"/>
                <w:lang w:val="en-GB"/>
              </w:rPr>
            </w:pPr>
          </w:p>
        </w:tc>
      </w:tr>
      <w:tr w:rsidR="005761EE" w:rsidTr="00224559">
        <w:tc>
          <w:tcPr>
            <w:tcW w:w="689" w:type="dxa"/>
          </w:tcPr>
          <w:p w:rsidR="005761EE" w:rsidRPr="00BE3768" w:rsidRDefault="005761EE"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3</w:t>
            </w:r>
          </w:p>
        </w:tc>
        <w:tc>
          <w:tcPr>
            <w:tcW w:w="1687" w:type="dxa"/>
          </w:tcPr>
          <w:p w:rsidR="005761EE" w:rsidRPr="00BE3768" w:rsidRDefault="005761EE"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Engages with the literature; particularly the discipline literature</w:t>
            </w:r>
          </w:p>
        </w:tc>
        <w:tc>
          <w:tcPr>
            <w:tcW w:w="1701" w:type="dxa"/>
          </w:tcPr>
          <w:p w:rsidR="005761EE" w:rsidRPr="00BE3768" w:rsidRDefault="005761EE"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Reflection-in-action</w:t>
            </w:r>
          </w:p>
        </w:tc>
        <w:tc>
          <w:tcPr>
            <w:tcW w:w="2410" w:type="dxa"/>
          </w:tcPr>
          <w:p w:rsidR="005761EE" w:rsidRPr="00BE3768" w:rsidRDefault="005761EE" w:rsidP="00224559">
            <w:pPr>
              <w:rPr>
                <w:sz w:val="22"/>
                <w:szCs w:val="22"/>
                <w:lang w:val="en-GB"/>
              </w:rPr>
            </w:pPr>
            <w:r w:rsidRPr="00BE3768">
              <w:rPr>
                <w:sz w:val="22"/>
                <w:szCs w:val="22"/>
                <w:lang w:val="en-GB"/>
              </w:rPr>
              <w:t>Reports work at local and national conferences</w:t>
            </w:r>
          </w:p>
          <w:p w:rsidR="005761EE" w:rsidRPr="00BE3768" w:rsidRDefault="005761EE" w:rsidP="00224559">
            <w:pPr>
              <w:pStyle w:val="Heading2"/>
              <w:spacing w:before="2" w:after="2"/>
              <w:outlineLvl w:val="1"/>
              <w:rPr>
                <w:rFonts w:asciiTheme="minorHAnsi" w:hAnsiTheme="minorHAnsi"/>
                <w:b w:val="0"/>
                <w:sz w:val="22"/>
                <w:szCs w:val="22"/>
                <w:lang w:val="en-GB"/>
              </w:rPr>
            </w:pPr>
          </w:p>
        </w:tc>
        <w:tc>
          <w:tcPr>
            <w:tcW w:w="2029" w:type="dxa"/>
          </w:tcPr>
          <w:p w:rsidR="005761EE" w:rsidRPr="00BE3768" w:rsidRDefault="005761EE" w:rsidP="00224559">
            <w:pPr>
              <w:pStyle w:val="Heading2"/>
              <w:spacing w:before="2" w:after="2"/>
              <w:outlineLvl w:val="1"/>
              <w:rPr>
                <w:rFonts w:asciiTheme="minorHAnsi" w:hAnsiTheme="minorHAnsi"/>
                <w:b w:val="0"/>
                <w:sz w:val="22"/>
                <w:szCs w:val="22"/>
                <w:lang w:val="en-GB"/>
              </w:rPr>
            </w:pPr>
          </w:p>
        </w:tc>
      </w:tr>
      <w:tr w:rsidR="005761EE" w:rsidTr="00224559">
        <w:tc>
          <w:tcPr>
            <w:tcW w:w="689" w:type="dxa"/>
          </w:tcPr>
          <w:p w:rsidR="005761EE" w:rsidRPr="00BE3768" w:rsidRDefault="005761EE"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4</w:t>
            </w:r>
          </w:p>
        </w:tc>
        <w:tc>
          <w:tcPr>
            <w:tcW w:w="1687" w:type="dxa"/>
          </w:tcPr>
          <w:p w:rsidR="005761EE" w:rsidRPr="00BE3768" w:rsidRDefault="005761EE"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Conducts action research, has synoptic capacity and pedagogic content knowledge</w:t>
            </w:r>
          </w:p>
        </w:tc>
        <w:tc>
          <w:tcPr>
            <w:tcW w:w="1701" w:type="dxa"/>
          </w:tcPr>
          <w:p w:rsidR="005761EE" w:rsidRPr="00BE3768" w:rsidRDefault="005761EE" w:rsidP="00224559">
            <w:pPr>
              <w:rPr>
                <w:sz w:val="22"/>
                <w:szCs w:val="22"/>
                <w:lang w:val="en-GB"/>
              </w:rPr>
            </w:pPr>
            <w:r w:rsidRPr="00BE3768">
              <w:rPr>
                <w:sz w:val="22"/>
                <w:szCs w:val="22"/>
                <w:lang w:val="en-GB"/>
              </w:rPr>
              <w:t>Reflection focused on asking what do I need to know about x here, and how will I find out about it?</w:t>
            </w:r>
          </w:p>
        </w:tc>
        <w:tc>
          <w:tcPr>
            <w:tcW w:w="2410" w:type="dxa"/>
          </w:tcPr>
          <w:p w:rsidR="005761EE" w:rsidRPr="00BE3768" w:rsidRDefault="005761EE" w:rsidP="00224559">
            <w:pPr>
              <w:rPr>
                <w:sz w:val="22"/>
                <w:szCs w:val="22"/>
                <w:lang w:val="en-GB"/>
              </w:rPr>
            </w:pPr>
            <w:r w:rsidRPr="00BE3768">
              <w:rPr>
                <w:sz w:val="22"/>
                <w:szCs w:val="22"/>
                <w:lang w:val="en-GB"/>
              </w:rPr>
              <w:t>Publishes in international scholarly journals</w:t>
            </w:r>
          </w:p>
          <w:p w:rsidR="005761EE" w:rsidRPr="00BE3768" w:rsidRDefault="005761EE" w:rsidP="00224559">
            <w:pPr>
              <w:pStyle w:val="Heading2"/>
              <w:spacing w:before="2" w:after="2"/>
              <w:outlineLvl w:val="1"/>
              <w:rPr>
                <w:rFonts w:asciiTheme="minorHAnsi" w:hAnsiTheme="minorHAnsi"/>
                <w:b w:val="0"/>
                <w:sz w:val="22"/>
                <w:szCs w:val="22"/>
                <w:lang w:val="en-GB"/>
              </w:rPr>
            </w:pPr>
          </w:p>
        </w:tc>
        <w:tc>
          <w:tcPr>
            <w:tcW w:w="2029" w:type="dxa"/>
          </w:tcPr>
          <w:p w:rsidR="005761EE" w:rsidRPr="00BE3768" w:rsidRDefault="005761EE" w:rsidP="00224559">
            <w:pPr>
              <w:rPr>
                <w:sz w:val="22"/>
                <w:szCs w:val="22"/>
                <w:lang w:val="en-GB"/>
              </w:rPr>
            </w:pPr>
            <w:r w:rsidRPr="00BE3768">
              <w:rPr>
                <w:sz w:val="22"/>
                <w:szCs w:val="22"/>
                <w:lang w:val="en-GB"/>
              </w:rPr>
              <w:t>sees teaching in a student-focused way</w:t>
            </w:r>
          </w:p>
          <w:p w:rsidR="005761EE" w:rsidRPr="00BE3768" w:rsidRDefault="005761EE" w:rsidP="00224559">
            <w:pPr>
              <w:pStyle w:val="Heading2"/>
              <w:spacing w:before="2" w:after="2"/>
              <w:outlineLvl w:val="1"/>
              <w:rPr>
                <w:rFonts w:asciiTheme="minorHAnsi" w:hAnsiTheme="minorHAnsi"/>
                <w:b w:val="0"/>
                <w:sz w:val="22"/>
                <w:szCs w:val="22"/>
                <w:lang w:val="en-GB"/>
              </w:rPr>
            </w:pPr>
          </w:p>
        </w:tc>
      </w:tr>
    </w:tbl>
    <w:p w:rsidR="00404C32" w:rsidRDefault="00404C32" w:rsidP="00BE3768">
      <w:pPr>
        <w:spacing w:before="240" w:line="480" w:lineRule="auto"/>
      </w:pPr>
    </w:p>
    <w:p w:rsidR="00E15F1A" w:rsidRPr="00AD6286" w:rsidRDefault="007E0950" w:rsidP="00C61864">
      <w:pPr>
        <w:spacing w:line="360" w:lineRule="auto"/>
      </w:pPr>
      <w:r>
        <w:t>Each interviewee was given a score from 1-4 for each of the dimensions, and t</w:t>
      </w:r>
      <w:r w:rsidR="00BE3768">
        <w:t>he average scores for each dimension were calculated to determine areas where interviewees were not fully eng</w:t>
      </w:r>
      <w:r>
        <w:t>aging, or where development may have been lagging</w:t>
      </w:r>
      <w:r w:rsidR="00BE3768">
        <w:t xml:space="preserve">. </w:t>
      </w:r>
      <w:r>
        <w:t>Having determined that there was a difference in the level of engagement between the four dimensions,</w:t>
      </w:r>
      <w:r w:rsidR="00AF7716">
        <w:t xml:space="preserve"> </w:t>
      </w:r>
      <w:r w:rsidR="00BE3768">
        <w:t>the transcripts</w:t>
      </w:r>
      <w:r w:rsidR="00AF7716">
        <w:t xml:space="preserve"> were reassessed</w:t>
      </w:r>
      <w:r w:rsidR="00BE3768">
        <w:t xml:space="preserve"> to look for evidence of potential threshold co</w:t>
      </w:r>
      <w:r>
        <w:t>ncepts situated within them</w:t>
      </w:r>
      <w:r w:rsidR="00BE3768">
        <w:t>.</w:t>
      </w:r>
      <w:r w:rsidR="00AD6286">
        <w:t xml:space="preserve"> The criteria </w:t>
      </w:r>
      <w:r w:rsidR="00AD6286">
        <w:rPr>
          <w:i/>
        </w:rPr>
        <w:t xml:space="preserve">Transformative, </w:t>
      </w:r>
      <w:r w:rsidR="00AD6286">
        <w:rPr>
          <w:i/>
        </w:rPr>
        <w:lastRenderedPageBreak/>
        <w:t>Irreversible, Integrated</w:t>
      </w:r>
      <w:r w:rsidR="00AD6286">
        <w:t xml:space="preserve"> and </w:t>
      </w:r>
      <w:r w:rsidR="00AD6286">
        <w:rPr>
          <w:i/>
        </w:rPr>
        <w:t>Bounded</w:t>
      </w:r>
      <w:r w:rsidR="00AD6286">
        <w:t xml:space="preserve"> were used </w:t>
      </w:r>
      <w:r w:rsidR="005761EE">
        <w:t>to identify potential Threshold Concepts, followed by an interrogation of the transcripts to discover instances of “troublesome knowledge”</w:t>
      </w:r>
      <w:r w:rsidR="00C61864">
        <w:t xml:space="preserve"> (</w:t>
      </w:r>
      <w:r w:rsidR="00C61864" w:rsidRPr="00C61864">
        <w:rPr>
          <w:i/>
        </w:rPr>
        <w:t>Ritual, Inert, Conceptually difficult, Alien, Tacit, Troublesome language</w:t>
      </w:r>
      <w:r w:rsidR="00C61864">
        <w:t>)</w:t>
      </w:r>
      <w:r w:rsidR="003D1AA2">
        <w:t xml:space="preserve"> </w:t>
      </w:r>
      <w:r w:rsidR="003D1AA2">
        <w:fldChar w:fldCharType="begin"/>
      </w:r>
      <w:r w:rsidR="0009226D">
        <w:instrText xml:space="preserve"> ADDIN ZOTERO_ITEM CSL_CITATION {"citationID":"1jim2q3qv4","properties":{"formattedCitation":"(Perkins, 1999)","plainCitation":"(Perkins, 1999)"},"citationItems":[{"id":166,"uris":["http://zotero.org/users/386570/items/IXUVDCKT"],"uri":["http://zotero.org/users/386570/items/IXUVDCKT"],"itemData":{"id":166,"type":"article-journal","title":"The many faces of constructivism","container-title":"Educational Leadership","volume":"57","issue":"3","author":[{"family":"Perkins","given":"D"}],"issued":{"date-parts":[["1999"]]}}}],"schema":"https://github.com/citation-style-language/schema/raw/master/csl-citation.json"} </w:instrText>
      </w:r>
      <w:r w:rsidR="003D1AA2">
        <w:fldChar w:fldCharType="separate"/>
      </w:r>
      <w:r w:rsidR="003D1AA2" w:rsidRPr="003D1AA2">
        <w:rPr>
          <w:rFonts w:ascii="Calibri" w:hAnsi="Calibri"/>
        </w:rPr>
        <w:t>(Perkins, 1999)</w:t>
      </w:r>
      <w:r w:rsidR="003D1AA2">
        <w:fldChar w:fldCharType="end"/>
      </w:r>
      <w:r w:rsidR="005761EE">
        <w:t>. The outcomes were then analysed for common themes and possible bottlenecks where threshold concepts could occur.</w:t>
      </w:r>
    </w:p>
    <w:p w:rsidR="00B168F0" w:rsidRPr="007020AA" w:rsidRDefault="00BD1368" w:rsidP="005761EE">
      <w:pPr>
        <w:rPr>
          <w:b/>
          <w:sz w:val="24"/>
          <w:szCs w:val="24"/>
        </w:rPr>
      </w:pPr>
      <w:r w:rsidRPr="007020AA">
        <w:rPr>
          <w:b/>
          <w:sz w:val="24"/>
          <w:szCs w:val="24"/>
        </w:rPr>
        <w:t>Findings</w:t>
      </w:r>
    </w:p>
    <w:p w:rsidR="00D90F4B" w:rsidRDefault="00D90F4B" w:rsidP="005761EE">
      <w:pPr>
        <w:rPr>
          <w:b/>
        </w:rPr>
      </w:pPr>
      <w:r>
        <w:rPr>
          <w:b/>
        </w:rPr>
        <w:t>Measuring differences in perception</w:t>
      </w:r>
    </w:p>
    <w:p w:rsidR="00D90F4B" w:rsidRPr="00D90F4B" w:rsidRDefault="00D90F4B" w:rsidP="00D90F4B">
      <w:pPr>
        <w:spacing w:line="360" w:lineRule="auto"/>
      </w:pPr>
      <w:r>
        <w:t xml:space="preserve">Both SoTL and Pedagogy were indicated as areas of tension using Semantic Differential. The </w:t>
      </w:r>
      <w:r w:rsidRPr="004D2CB0">
        <w:t xml:space="preserve">Potency </w:t>
      </w:r>
      <w:r>
        <w:t>of SoTL was perceived to be different by REF-returnable and non-REF-returnable academics (</w:t>
      </w:r>
      <w:proofErr w:type="gramStart"/>
      <w:r w:rsidR="004D2CB0" w:rsidRPr="000C1352">
        <w:rPr>
          <w:i/>
        </w:rPr>
        <w:t>U</w:t>
      </w:r>
      <w:r w:rsidR="004D2CB0" w:rsidRPr="00EF09E0">
        <w:rPr>
          <w:vertAlign w:val="subscript"/>
        </w:rPr>
        <w:t>(</w:t>
      </w:r>
      <w:proofErr w:type="gramEnd"/>
      <w:r w:rsidR="000C1352" w:rsidRPr="00EF09E0">
        <w:rPr>
          <w:vertAlign w:val="subscript"/>
        </w:rPr>
        <w:t>42</w:t>
      </w:r>
      <w:r w:rsidR="004D2CB0" w:rsidRPr="00EF09E0">
        <w:rPr>
          <w:vertAlign w:val="subscript"/>
        </w:rPr>
        <w:t>)</w:t>
      </w:r>
      <w:r w:rsidR="004D2CB0">
        <w:t xml:space="preserve"> = 109, </w:t>
      </w:r>
      <w:r w:rsidR="004D2CB0" w:rsidRPr="000C1352">
        <w:rPr>
          <w:i/>
        </w:rPr>
        <w:t xml:space="preserve">Z </w:t>
      </w:r>
      <w:r w:rsidR="004D2CB0">
        <w:t xml:space="preserve">= -1.986, </w:t>
      </w:r>
      <w:r>
        <w:t>p</w:t>
      </w:r>
      <w:r w:rsidR="000C1352">
        <w:t xml:space="preserve"> </w:t>
      </w:r>
      <w:r>
        <w:t>=</w:t>
      </w:r>
      <w:r w:rsidR="000C1352">
        <w:t xml:space="preserve"> </w:t>
      </w:r>
      <w:r>
        <w:t>0.047, d</w:t>
      </w:r>
      <w:r w:rsidR="000C1352">
        <w:t xml:space="preserve"> </w:t>
      </w:r>
      <w:r>
        <w:t>=</w:t>
      </w:r>
      <w:r w:rsidR="000C1352">
        <w:t xml:space="preserve"> </w:t>
      </w:r>
      <w:r>
        <w:t>-0.68)</w:t>
      </w:r>
      <w:r w:rsidR="004D2CB0">
        <w:t xml:space="preserve">, with non-REF-returnable academics’ perceptions being more positive </w:t>
      </w:r>
      <w:r w:rsidR="004D2CB0" w:rsidRPr="004D2CB0">
        <w:t>(mean</w:t>
      </w:r>
      <w:r w:rsidR="004D2CB0" w:rsidRPr="004D2CB0">
        <w:rPr>
          <w:vertAlign w:val="subscript"/>
        </w:rPr>
        <w:t>(non-REF)</w:t>
      </w:r>
      <w:r w:rsidR="00EF09E0">
        <w:rPr>
          <w:vertAlign w:val="subscript"/>
        </w:rPr>
        <w:t xml:space="preserve"> </w:t>
      </w:r>
      <w:r w:rsidR="004D2CB0" w:rsidRPr="004D2CB0">
        <w:t>=</w:t>
      </w:r>
      <w:r w:rsidR="00EF09E0">
        <w:t xml:space="preserve"> </w:t>
      </w:r>
      <w:r w:rsidR="004D2CB0">
        <w:t xml:space="preserve">4.80), while REF-returnable academics’ perceptions tended towards neutral </w:t>
      </w:r>
      <w:r w:rsidR="004D2CB0" w:rsidRPr="004D2CB0">
        <w:t>(mean</w:t>
      </w:r>
      <w:r w:rsidR="004D2CB0">
        <w:rPr>
          <w:vertAlign w:val="subscript"/>
        </w:rPr>
        <w:t>(</w:t>
      </w:r>
      <w:r w:rsidR="004D2CB0" w:rsidRPr="004D2CB0">
        <w:rPr>
          <w:vertAlign w:val="subscript"/>
        </w:rPr>
        <w:t>REF)</w:t>
      </w:r>
      <w:r w:rsidR="00EF09E0">
        <w:rPr>
          <w:vertAlign w:val="subscript"/>
        </w:rPr>
        <w:t xml:space="preserve"> </w:t>
      </w:r>
      <w:r w:rsidR="004D2CB0" w:rsidRPr="004D2CB0">
        <w:t>=</w:t>
      </w:r>
      <w:r w:rsidR="00EF09E0">
        <w:t xml:space="preserve"> </w:t>
      </w:r>
      <w:r w:rsidR="004D2CB0">
        <w:t>4.38).</w:t>
      </w:r>
      <w:r w:rsidR="00183DFF">
        <w:t xml:space="preserve"> Pedagogy was also perceived to have differences in Potency, this time between Research-Teaching and Teaching-Only academics (</w:t>
      </w:r>
      <w:proofErr w:type="gramStart"/>
      <w:r w:rsidR="000C1352" w:rsidRPr="000C1352">
        <w:rPr>
          <w:i/>
        </w:rPr>
        <w:t>U</w:t>
      </w:r>
      <w:r w:rsidR="000C1352" w:rsidRPr="00EF09E0">
        <w:rPr>
          <w:vertAlign w:val="subscript"/>
        </w:rPr>
        <w:t>(</w:t>
      </w:r>
      <w:proofErr w:type="gramEnd"/>
      <w:r w:rsidR="000C1352" w:rsidRPr="00EF09E0">
        <w:rPr>
          <w:vertAlign w:val="subscript"/>
        </w:rPr>
        <w:t>42</w:t>
      </w:r>
      <w:r w:rsidR="00183DFF" w:rsidRPr="00EF09E0">
        <w:rPr>
          <w:vertAlign w:val="subscript"/>
        </w:rPr>
        <w:t>)</w:t>
      </w:r>
      <w:r w:rsidR="00183DFF">
        <w:t xml:space="preserve"> = 121.5, </w:t>
      </w:r>
      <w:r w:rsidR="00183DFF" w:rsidRPr="000C1352">
        <w:rPr>
          <w:i/>
        </w:rPr>
        <w:t>Z</w:t>
      </w:r>
      <w:r w:rsidR="00183DFF">
        <w:t xml:space="preserve"> = -2.526, p</w:t>
      </w:r>
      <w:r w:rsidR="000C1352">
        <w:t xml:space="preserve"> </w:t>
      </w:r>
      <w:r w:rsidR="00183DFF">
        <w:t>=</w:t>
      </w:r>
      <w:r w:rsidR="000C1352">
        <w:t xml:space="preserve"> </w:t>
      </w:r>
      <w:r w:rsidR="00183DFF">
        <w:t>0.012, d</w:t>
      </w:r>
      <w:r w:rsidR="000C1352">
        <w:t xml:space="preserve"> </w:t>
      </w:r>
      <w:r w:rsidR="00183DFF">
        <w:t>=</w:t>
      </w:r>
      <w:r w:rsidR="000C1352">
        <w:t xml:space="preserve"> </w:t>
      </w:r>
      <w:r w:rsidR="00183DFF">
        <w:t xml:space="preserve">-0.59), with Teaching-Only academics’ perceptions being more positive </w:t>
      </w:r>
      <w:r w:rsidR="00183DFF" w:rsidRPr="004D2CB0">
        <w:t>(mean</w:t>
      </w:r>
      <w:r w:rsidR="00183DFF">
        <w:rPr>
          <w:vertAlign w:val="subscript"/>
        </w:rPr>
        <w:t>(TO</w:t>
      </w:r>
      <w:r w:rsidR="00183DFF" w:rsidRPr="004D2CB0">
        <w:rPr>
          <w:vertAlign w:val="subscript"/>
        </w:rPr>
        <w:t>)</w:t>
      </w:r>
      <w:r w:rsidR="00EF09E0">
        <w:rPr>
          <w:vertAlign w:val="subscript"/>
        </w:rPr>
        <w:t xml:space="preserve"> </w:t>
      </w:r>
      <w:r w:rsidR="00183DFF" w:rsidRPr="004D2CB0">
        <w:t>=</w:t>
      </w:r>
      <w:r w:rsidR="00EF09E0">
        <w:t xml:space="preserve"> </w:t>
      </w:r>
      <w:r w:rsidR="00183DFF">
        <w:t xml:space="preserve">4.68), while Research-Teaching academics’ perceptions tended towards neutral </w:t>
      </w:r>
      <w:r w:rsidR="00183DFF" w:rsidRPr="004D2CB0">
        <w:t>(mean</w:t>
      </w:r>
      <w:r w:rsidR="00183DFF">
        <w:rPr>
          <w:vertAlign w:val="subscript"/>
        </w:rPr>
        <w:t>(RT</w:t>
      </w:r>
      <w:r w:rsidR="00183DFF" w:rsidRPr="004D2CB0">
        <w:rPr>
          <w:vertAlign w:val="subscript"/>
        </w:rPr>
        <w:t>)</w:t>
      </w:r>
      <w:r w:rsidR="00EF09E0">
        <w:rPr>
          <w:vertAlign w:val="subscript"/>
        </w:rPr>
        <w:t xml:space="preserve"> </w:t>
      </w:r>
      <w:r w:rsidR="00183DFF" w:rsidRPr="004D2CB0">
        <w:t>=</w:t>
      </w:r>
      <w:r w:rsidR="00EF09E0">
        <w:t xml:space="preserve"> </w:t>
      </w:r>
      <w:r w:rsidR="00183DFF">
        <w:t>4.16).</w:t>
      </w:r>
    </w:p>
    <w:p w:rsidR="005761EE" w:rsidRPr="007020AA" w:rsidRDefault="005761EE" w:rsidP="005761EE">
      <w:pPr>
        <w:rPr>
          <w:b/>
        </w:rPr>
      </w:pPr>
      <w:r w:rsidRPr="007020AA">
        <w:rPr>
          <w:b/>
        </w:rPr>
        <w:t>Variation in engagement</w:t>
      </w:r>
    </w:p>
    <w:p w:rsidR="008E23AB" w:rsidRDefault="008E23AB" w:rsidP="008E23AB">
      <w:pPr>
        <w:spacing w:line="360" w:lineRule="auto"/>
        <w:jc w:val="both"/>
      </w:pPr>
      <w:r>
        <w:t xml:space="preserve">Using a simple scale of 1-4 for each of </w:t>
      </w:r>
      <w:proofErr w:type="spellStart"/>
      <w:r>
        <w:t>Trigwell</w:t>
      </w:r>
      <w:proofErr w:type="spellEnd"/>
      <w:r>
        <w:t xml:space="preserve"> et </w:t>
      </w:r>
      <w:proofErr w:type="spellStart"/>
      <w:r>
        <w:t>al’s</w:t>
      </w:r>
      <w:proofErr w:type="spellEnd"/>
      <w:r>
        <w:t xml:space="preserve"> (2000) dimensions of scholarship</w:t>
      </w:r>
      <w:r w:rsidR="005761EE">
        <w:t>, and scoring what I determined to be the highest lev</w:t>
      </w:r>
      <w:r w:rsidR="00D26532">
        <w:t>el at which</w:t>
      </w:r>
      <w:r w:rsidR="005761EE">
        <w:t xml:space="preserve"> each interviewee engaged with each of the dimensions</w:t>
      </w:r>
      <w:r>
        <w:t>, I was able to illustrate that interviewees do not engage with all f</w:t>
      </w:r>
      <w:r w:rsidR="007E0950">
        <w:t>our dimensions to the same degree</w:t>
      </w:r>
      <w:r w:rsidR="00AB2E8F">
        <w:t xml:space="preserve"> (Fig. 1</w:t>
      </w:r>
      <w:r w:rsidR="00D70B07">
        <w:t>)</w:t>
      </w:r>
      <w:r>
        <w:t>. While all of the interviewees</w:t>
      </w:r>
      <w:r w:rsidR="007E0950">
        <w:t>, from academics new to teaching to senior academics</w:t>
      </w:r>
      <w:r w:rsidR="00D26532">
        <w:t>,</w:t>
      </w:r>
      <w:r w:rsidR="007E0950">
        <w:t xml:space="preserve"> showed evidence of reflection</w:t>
      </w:r>
      <w:r>
        <w:t xml:space="preserve"> in terms of teaching and learning, this was not matched with evidence of engagement with literature and theory (informed dimension), evidence of publications (communication dimension), and, to a lesser extent, evidence of a student-centred conception of learning (conception dimension). This illustration</w:t>
      </w:r>
      <w:r w:rsidR="00B65025">
        <w:t xml:space="preserve"> (</w:t>
      </w:r>
      <w:r w:rsidR="00B65025">
        <w:fldChar w:fldCharType="begin"/>
      </w:r>
      <w:r w:rsidR="00B65025">
        <w:instrText xml:space="preserve"> REF _Ref399857203 \h </w:instrText>
      </w:r>
      <w:r w:rsidR="00B65025">
        <w:fldChar w:fldCharType="separate"/>
      </w:r>
      <w:r w:rsidR="00B65025">
        <w:t xml:space="preserve">Figure </w:t>
      </w:r>
      <w:r w:rsidR="00B65025">
        <w:rPr>
          <w:noProof/>
        </w:rPr>
        <w:t>1</w:t>
      </w:r>
      <w:r w:rsidR="00B65025">
        <w:fldChar w:fldCharType="end"/>
      </w:r>
      <w:r w:rsidR="007E0950">
        <w:t>)</w:t>
      </w:r>
      <w:r w:rsidR="00D26532">
        <w:t xml:space="preserve"> is a useful indication of </w:t>
      </w:r>
      <w:r w:rsidR="009A5CC5">
        <w:t xml:space="preserve">the dimensions </w:t>
      </w:r>
      <w:r w:rsidR="00D26532">
        <w:t>where potential Threshold Concepts might exist</w:t>
      </w:r>
      <w:r w:rsidR="00EE3D14">
        <w:t xml:space="preserve">. </w:t>
      </w:r>
    </w:p>
    <w:p w:rsidR="00BD1368" w:rsidRDefault="008E23AB" w:rsidP="008E23AB">
      <w:pPr>
        <w:jc w:val="center"/>
      </w:pPr>
      <w:r>
        <w:rPr>
          <w:noProof/>
          <w:lang w:eastAsia="en-GB"/>
        </w:rPr>
        <w:lastRenderedPageBreak/>
        <w:drawing>
          <wp:inline distT="0" distB="0" distL="0" distR="0" wp14:anchorId="3F09AE5F" wp14:editId="7173415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1368" w:rsidRPr="00BD1368" w:rsidRDefault="00B65025" w:rsidP="00B65025">
      <w:pPr>
        <w:pStyle w:val="Caption"/>
      </w:pPr>
      <w:bookmarkStart w:id="2" w:name="_Ref399857203"/>
      <w:r>
        <w:t xml:space="preserve">Figure </w:t>
      </w:r>
      <w:r w:rsidR="00205EEB">
        <w:fldChar w:fldCharType="begin"/>
      </w:r>
      <w:r w:rsidR="00205EEB">
        <w:instrText xml:space="preserve"> SEQ Figure \* ARABIC </w:instrText>
      </w:r>
      <w:r w:rsidR="00205EEB">
        <w:fldChar w:fldCharType="separate"/>
      </w:r>
      <w:r>
        <w:rPr>
          <w:noProof/>
        </w:rPr>
        <w:t>1</w:t>
      </w:r>
      <w:r w:rsidR="00205EEB">
        <w:rPr>
          <w:noProof/>
        </w:rPr>
        <w:fldChar w:fldCharType="end"/>
      </w:r>
      <w:bookmarkEnd w:id="2"/>
      <w:r>
        <w:t xml:space="preserve"> </w:t>
      </w:r>
      <w:r w:rsidRPr="002C761B">
        <w:t xml:space="preserve">Average score for engagement with </w:t>
      </w:r>
      <w:proofErr w:type="spellStart"/>
      <w:r w:rsidRPr="002C761B">
        <w:t>Trigwell</w:t>
      </w:r>
      <w:proofErr w:type="spellEnd"/>
      <w:r w:rsidRPr="002C761B">
        <w:t xml:space="preserve"> et </w:t>
      </w:r>
      <w:proofErr w:type="spellStart"/>
      <w:r w:rsidRPr="002C761B">
        <w:t>al’s</w:t>
      </w:r>
      <w:proofErr w:type="spellEnd"/>
      <w:r w:rsidRPr="002C761B">
        <w:t xml:space="preserve"> (2000) dimensions of scholarship</w:t>
      </w:r>
    </w:p>
    <w:p w:rsidR="00B168F0" w:rsidRDefault="00B168F0"/>
    <w:p w:rsidR="00A64346" w:rsidRDefault="007E0950" w:rsidP="005761EE">
      <w:pPr>
        <w:spacing w:line="360" w:lineRule="auto"/>
      </w:pPr>
      <w:r>
        <w:t>Having determined that there were</w:t>
      </w:r>
      <w:r w:rsidR="00290C4D">
        <w:t xml:space="preserve"> potential</w:t>
      </w:r>
      <w:r>
        <w:t xml:space="preserve"> differences in level of engagement, I returned to the interview transcripts to look for evidence of what</w:t>
      </w:r>
      <w:r w:rsidR="009A5CC5">
        <w:t xml:space="preserve"> kind of difficulties there were for interviewees, and where they were located</w:t>
      </w:r>
      <w:r>
        <w:t>, when they attempted to engage in SoTL. In particular I wanted to look at interviewees’ engagement with pedagogical literature and theory, their ability to produce communications for the wider community, and their conceptual model of learning</w:t>
      </w:r>
      <w:r w:rsidR="004B1342">
        <w:t>, and find the extent to which these could be framed in terms of Threshold Concepts</w:t>
      </w:r>
      <w:r>
        <w:t>.</w:t>
      </w:r>
    </w:p>
    <w:p w:rsidR="005761EE" w:rsidRPr="007020AA" w:rsidRDefault="005761EE" w:rsidP="005761EE">
      <w:pPr>
        <w:spacing w:line="360" w:lineRule="auto"/>
        <w:rPr>
          <w:b/>
        </w:rPr>
      </w:pPr>
      <w:r w:rsidRPr="007020AA">
        <w:rPr>
          <w:b/>
        </w:rPr>
        <w:t>Identification of Threshold Concepts</w:t>
      </w:r>
    </w:p>
    <w:p w:rsidR="002517E4" w:rsidRDefault="005761EE" w:rsidP="005761EE">
      <w:pPr>
        <w:spacing w:line="360" w:lineRule="auto"/>
      </w:pPr>
      <w:r>
        <w:t>I interrogated interview transcripts, and looked for instances of possible Threshold Concepts</w:t>
      </w:r>
      <w:r w:rsidR="003655E2">
        <w:t xml:space="preserve"> </w:t>
      </w:r>
      <w:r w:rsidR="003655E2">
        <w:fldChar w:fldCharType="begin"/>
      </w:r>
      <w:r w:rsidR="0009226D">
        <w:instrText xml:space="preserve"> ADDIN ZOTERO_ITEM CSL_CITATION {"citationID":"kaqifr0bb","properties":{"formattedCitation":"(Meyer &amp; Land, 2003)","plainCitation":"(Meyer &amp; Land, 2003)"},"citationItems":[{"id":14,"uris":["http://zotero.org/users/386570/items/2SHX6QDS"],"uri":["http://zotero.org/users/386570/items/2SHX6QDS"],"itemData":{"id":14,"type":"chapter","title":"Threshold concepts and troublesome knowledge: linkages to ways of thinking and practising within the disciplines","container-title":"Improving student learning: Improving student learning theory and practice - Ten Years On.","publisher":"Oxford Centre for Staff and Learning Development","publisher-place":"Oxford","edition":"Rust, C. (Ed)","event-place":"Oxford","author":[{"family":"Meyer","given":"Jan H. F."},{"family":"Land","given":"Ray"}],"issued":{"date-parts":[["2003"]]}}}],"schema":"https://github.com/citation-style-language/schema/raw/master/csl-citation.json"} </w:instrText>
      </w:r>
      <w:r w:rsidR="003655E2">
        <w:fldChar w:fldCharType="separate"/>
      </w:r>
      <w:r w:rsidR="003655E2" w:rsidRPr="003655E2">
        <w:rPr>
          <w:rFonts w:ascii="Calibri" w:hAnsi="Calibri"/>
        </w:rPr>
        <w:t>(Meyer &amp; Land, 2003)</w:t>
      </w:r>
      <w:r w:rsidR="003655E2">
        <w:fldChar w:fldCharType="end"/>
      </w:r>
      <w:r>
        <w:t xml:space="preserve">. In the initial round of analysis I was interested in identifying instances of engagement with SoTL which were </w:t>
      </w:r>
      <w:r>
        <w:rPr>
          <w:i/>
        </w:rPr>
        <w:t xml:space="preserve">Transformative, Irreversible, Integrated </w:t>
      </w:r>
      <w:r>
        <w:t xml:space="preserve">and </w:t>
      </w:r>
      <w:r>
        <w:rPr>
          <w:i/>
        </w:rPr>
        <w:t>Bounded</w:t>
      </w:r>
      <w:r w:rsidR="00404C32">
        <w:t xml:space="preserve">, the findings of </w:t>
      </w:r>
      <w:r w:rsidR="00D47D07">
        <w:t xml:space="preserve">which are </w:t>
      </w:r>
      <w:r w:rsidR="00113A5C">
        <w:t xml:space="preserve">illustrated in </w:t>
      </w:r>
      <w:r w:rsidR="00113A5C">
        <w:fldChar w:fldCharType="begin"/>
      </w:r>
      <w:r w:rsidR="00113A5C">
        <w:instrText xml:space="preserve"> REF _Ref399857305 \h </w:instrText>
      </w:r>
      <w:r w:rsidR="00113A5C">
        <w:fldChar w:fldCharType="separate"/>
      </w:r>
      <w:r w:rsidR="00113A5C">
        <w:t xml:space="preserve">Table </w:t>
      </w:r>
      <w:r w:rsidR="00113A5C">
        <w:rPr>
          <w:noProof/>
        </w:rPr>
        <w:t>5</w:t>
      </w:r>
      <w:r w:rsidR="00113A5C">
        <w:fldChar w:fldCharType="end"/>
      </w:r>
      <w:r w:rsidR="00404C32">
        <w:t>.</w:t>
      </w:r>
    </w:p>
    <w:p w:rsidR="002517E4" w:rsidRDefault="002517E4" w:rsidP="002517E4">
      <w:r>
        <w:br w:type="page"/>
      </w:r>
    </w:p>
    <w:p w:rsidR="00D47D07" w:rsidRPr="009A5CC5" w:rsidRDefault="00290C4D" w:rsidP="00290C4D">
      <w:pPr>
        <w:pStyle w:val="Caption"/>
      </w:pPr>
      <w:bookmarkStart w:id="3" w:name="_Ref399857305"/>
      <w:r>
        <w:lastRenderedPageBreak/>
        <w:t xml:space="preserve">Table </w:t>
      </w:r>
      <w:fldSimple w:instr=" SEQ Table \* ARABIC ">
        <w:r w:rsidR="00D17F4A">
          <w:rPr>
            <w:noProof/>
          </w:rPr>
          <w:t>5</w:t>
        </w:r>
      </w:fldSimple>
      <w:bookmarkEnd w:id="3"/>
      <w:r>
        <w:t xml:space="preserve"> </w:t>
      </w:r>
      <w:r w:rsidRPr="001D7677">
        <w:t>Identification of potential Threshold Concepts associated with Engagement with SoTL</w:t>
      </w:r>
      <w:r w:rsidR="009A5CC5">
        <w:t xml:space="preserve"> (after </w:t>
      </w:r>
      <w:proofErr w:type="spellStart"/>
      <w:r w:rsidR="009A5CC5">
        <w:t>Trigwell</w:t>
      </w:r>
      <w:proofErr w:type="spellEnd"/>
      <w:r w:rsidR="009A5CC5">
        <w:t xml:space="preserve"> </w:t>
      </w:r>
      <w:r w:rsidR="009A5CC5">
        <w:rPr>
          <w:i w:val="0"/>
        </w:rPr>
        <w:t>et al</w:t>
      </w:r>
      <w:r w:rsidR="009A5CC5">
        <w:t>, 2000)</w:t>
      </w:r>
    </w:p>
    <w:tbl>
      <w:tblPr>
        <w:tblStyle w:val="TableGrid"/>
        <w:tblW w:w="0" w:type="auto"/>
        <w:tblLook w:val="04A0" w:firstRow="1" w:lastRow="0" w:firstColumn="1" w:lastColumn="0" w:noHBand="0" w:noVBand="1"/>
      </w:tblPr>
      <w:tblGrid>
        <w:gridCol w:w="3080"/>
        <w:gridCol w:w="2557"/>
        <w:gridCol w:w="3605"/>
      </w:tblGrid>
      <w:tr w:rsidR="00404C32" w:rsidTr="00404C32">
        <w:tc>
          <w:tcPr>
            <w:tcW w:w="3080" w:type="dxa"/>
          </w:tcPr>
          <w:p w:rsidR="00404C32" w:rsidRPr="00D47D07" w:rsidRDefault="00404C32" w:rsidP="005761EE">
            <w:pPr>
              <w:spacing w:line="360" w:lineRule="auto"/>
              <w:rPr>
                <w:b/>
                <w:sz w:val="22"/>
                <w:szCs w:val="22"/>
              </w:rPr>
            </w:pPr>
            <w:r w:rsidRPr="00D47D07">
              <w:rPr>
                <w:b/>
                <w:sz w:val="22"/>
                <w:szCs w:val="22"/>
              </w:rPr>
              <w:t>Dimension of scholarship</w:t>
            </w:r>
          </w:p>
        </w:tc>
        <w:tc>
          <w:tcPr>
            <w:tcW w:w="2557" w:type="dxa"/>
          </w:tcPr>
          <w:p w:rsidR="00404C32" w:rsidRPr="00D47D07" w:rsidRDefault="00404C32" w:rsidP="005761EE">
            <w:pPr>
              <w:spacing w:line="360" w:lineRule="auto"/>
              <w:rPr>
                <w:b/>
                <w:sz w:val="22"/>
                <w:szCs w:val="22"/>
              </w:rPr>
            </w:pPr>
            <w:r w:rsidRPr="00D47D07">
              <w:rPr>
                <w:b/>
                <w:sz w:val="22"/>
                <w:szCs w:val="22"/>
              </w:rPr>
              <w:t>Level</w:t>
            </w:r>
          </w:p>
        </w:tc>
        <w:tc>
          <w:tcPr>
            <w:tcW w:w="3605" w:type="dxa"/>
          </w:tcPr>
          <w:p w:rsidR="00404C32" w:rsidRPr="00D47D07" w:rsidRDefault="00404C32" w:rsidP="005761EE">
            <w:pPr>
              <w:spacing w:line="360" w:lineRule="auto"/>
              <w:rPr>
                <w:b/>
                <w:sz w:val="22"/>
                <w:szCs w:val="22"/>
              </w:rPr>
            </w:pPr>
            <w:r w:rsidRPr="00D47D07">
              <w:rPr>
                <w:b/>
                <w:sz w:val="22"/>
                <w:szCs w:val="22"/>
              </w:rPr>
              <w:t>Threshold Concept Dimension</w:t>
            </w:r>
          </w:p>
        </w:tc>
      </w:tr>
      <w:tr w:rsidR="00404C32" w:rsidTr="00404C32">
        <w:tc>
          <w:tcPr>
            <w:tcW w:w="3080" w:type="dxa"/>
          </w:tcPr>
          <w:p w:rsidR="00404C32" w:rsidRPr="00D47D07" w:rsidRDefault="00404C32" w:rsidP="00404C32">
            <w:pPr>
              <w:rPr>
                <w:sz w:val="22"/>
                <w:szCs w:val="22"/>
              </w:rPr>
            </w:pPr>
            <w:r w:rsidRPr="00D47D07">
              <w:rPr>
                <w:sz w:val="22"/>
                <w:szCs w:val="22"/>
              </w:rPr>
              <w:t>Informed</w:t>
            </w:r>
          </w:p>
        </w:tc>
        <w:tc>
          <w:tcPr>
            <w:tcW w:w="2557" w:type="dxa"/>
          </w:tcPr>
          <w:p w:rsidR="00404C32" w:rsidRPr="00D47D07" w:rsidRDefault="00404C32" w:rsidP="00404C32">
            <w:pPr>
              <w:rPr>
                <w:sz w:val="22"/>
                <w:szCs w:val="22"/>
              </w:rPr>
            </w:pPr>
            <w:r w:rsidRPr="00D47D07">
              <w:rPr>
                <w:sz w:val="22"/>
                <w:szCs w:val="22"/>
              </w:rPr>
              <w:t>Informal theories of learning</w:t>
            </w:r>
          </w:p>
        </w:tc>
        <w:tc>
          <w:tcPr>
            <w:tcW w:w="3605" w:type="dxa"/>
          </w:tcPr>
          <w:p w:rsidR="00404C32" w:rsidRPr="00D47D07" w:rsidRDefault="00404C32" w:rsidP="00404C32">
            <w:pPr>
              <w:rPr>
                <w:sz w:val="22"/>
                <w:szCs w:val="22"/>
              </w:rPr>
            </w:pPr>
            <w:r w:rsidRPr="00D47D07">
              <w:rPr>
                <w:sz w:val="22"/>
                <w:szCs w:val="22"/>
              </w:rPr>
              <w:t>Transformative</w:t>
            </w:r>
          </w:p>
          <w:p w:rsidR="00404C32" w:rsidRPr="00D47D07" w:rsidRDefault="00404C32" w:rsidP="00404C32">
            <w:pPr>
              <w:rPr>
                <w:sz w:val="22"/>
                <w:szCs w:val="22"/>
              </w:rPr>
            </w:pPr>
            <w:r w:rsidRPr="00D47D07">
              <w:rPr>
                <w:sz w:val="22"/>
                <w:szCs w:val="22"/>
              </w:rPr>
              <w:t>Irreversible</w:t>
            </w:r>
          </w:p>
          <w:p w:rsidR="00404C32" w:rsidRPr="00D47D07" w:rsidRDefault="00404C32" w:rsidP="00404C32">
            <w:pPr>
              <w:rPr>
                <w:sz w:val="22"/>
                <w:szCs w:val="22"/>
              </w:rPr>
            </w:pPr>
            <w:r w:rsidRPr="00D47D07">
              <w:rPr>
                <w:sz w:val="22"/>
                <w:szCs w:val="22"/>
              </w:rPr>
              <w:t>Integrative</w:t>
            </w:r>
          </w:p>
        </w:tc>
      </w:tr>
      <w:tr w:rsidR="00404C32" w:rsidTr="00404C32">
        <w:tc>
          <w:tcPr>
            <w:tcW w:w="3080" w:type="dxa"/>
          </w:tcPr>
          <w:p w:rsidR="00404C32" w:rsidRPr="00D47D07" w:rsidRDefault="00404C32" w:rsidP="00404C32">
            <w:pPr>
              <w:rPr>
                <w:sz w:val="22"/>
                <w:szCs w:val="22"/>
              </w:rPr>
            </w:pPr>
            <w:r w:rsidRPr="00D47D07">
              <w:rPr>
                <w:sz w:val="22"/>
                <w:szCs w:val="22"/>
              </w:rPr>
              <w:t>Informed</w:t>
            </w:r>
          </w:p>
        </w:tc>
        <w:tc>
          <w:tcPr>
            <w:tcW w:w="2557" w:type="dxa"/>
          </w:tcPr>
          <w:p w:rsidR="00404C32" w:rsidRPr="00D47D07" w:rsidRDefault="00404C32" w:rsidP="00404C32">
            <w:pPr>
              <w:rPr>
                <w:sz w:val="22"/>
                <w:szCs w:val="22"/>
              </w:rPr>
            </w:pPr>
            <w:r w:rsidRPr="00D47D07">
              <w:rPr>
                <w:sz w:val="22"/>
                <w:szCs w:val="22"/>
              </w:rPr>
              <w:t>Engaging with the literature in general terms</w:t>
            </w:r>
          </w:p>
        </w:tc>
        <w:tc>
          <w:tcPr>
            <w:tcW w:w="3605" w:type="dxa"/>
          </w:tcPr>
          <w:p w:rsidR="00404C32" w:rsidRPr="00D47D07" w:rsidRDefault="00404C32" w:rsidP="00404C32">
            <w:pPr>
              <w:rPr>
                <w:sz w:val="22"/>
                <w:szCs w:val="22"/>
              </w:rPr>
            </w:pPr>
            <w:r w:rsidRPr="00D47D07">
              <w:rPr>
                <w:sz w:val="22"/>
                <w:szCs w:val="22"/>
              </w:rPr>
              <w:t>Transformative</w:t>
            </w:r>
          </w:p>
          <w:p w:rsidR="00D47D07" w:rsidRPr="00D47D07" w:rsidRDefault="00D47D07" w:rsidP="00404C32">
            <w:pPr>
              <w:rPr>
                <w:sz w:val="22"/>
                <w:szCs w:val="22"/>
              </w:rPr>
            </w:pPr>
            <w:r w:rsidRPr="00D47D07">
              <w:rPr>
                <w:sz w:val="22"/>
                <w:szCs w:val="22"/>
              </w:rPr>
              <w:t>Irreversible</w:t>
            </w:r>
          </w:p>
        </w:tc>
      </w:tr>
      <w:tr w:rsidR="00D47D07" w:rsidTr="00404C32">
        <w:tc>
          <w:tcPr>
            <w:tcW w:w="3080" w:type="dxa"/>
          </w:tcPr>
          <w:p w:rsidR="00D47D07" w:rsidRPr="00D47D07" w:rsidRDefault="00D47D07" w:rsidP="00404C32">
            <w:pPr>
              <w:rPr>
                <w:sz w:val="22"/>
                <w:szCs w:val="22"/>
              </w:rPr>
            </w:pPr>
            <w:r w:rsidRPr="00D47D07">
              <w:rPr>
                <w:sz w:val="22"/>
                <w:szCs w:val="22"/>
              </w:rPr>
              <w:t>Informed</w:t>
            </w:r>
          </w:p>
        </w:tc>
        <w:tc>
          <w:tcPr>
            <w:tcW w:w="2557" w:type="dxa"/>
          </w:tcPr>
          <w:p w:rsidR="00D47D07" w:rsidRPr="00D47D07" w:rsidRDefault="00D47D07" w:rsidP="00404C32">
            <w:pPr>
              <w:rPr>
                <w:sz w:val="22"/>
                <w:szCs w:val="22"/>
              </w:rPr>
            </w:pPr>
            <w:r w:rsidRPr="00D47D07">
              <w:rPr>
                <w:sz w:val="22"/>
                <w:szCs w:val="22"/>
                <w:lang w:val="en-GB"/>
              </w:rPr>
              <w:t>Engages with the literature; particularly the discipline literature</w:t>
            </w:r>
          </w:p>
        </w:tc>
        <w:tc>
          <w:tcPr>
            <w:tcW w:w="3605" w:type="dxa"/>
          </w:tcPr>
          <w:p w:rsidR="00D47D07" w:rsidRPr="00D47D07" w:rsidRDefault="00D47D07" w:rsidP="00D47D07">
            <w:pPr>
              <w:rPr>
                <w:sz w:val="22"/>
                <w:szCs w:val="22"/>
              </w:rPr>
            </w:pPr>
            <w:r w:rsidRPr="00D47D07">
              <w:rPr>
                <w:sz w:val="22"/>
                <w:szCs w:val="22"/>
              </w:rPr>
              <w:t>Transformative</w:t>
            </w:r>
          </w:p>
          <w:p w:rsidR="00D47D07" w:rsidRDefault="00D47D07" w:rsidP="00D47D07">
            <w:pPr>
              <w:rPr>
                <w:sz w:val="22"/>
                <w:szCs w:val="22"/>
              </w:rPr>
            </w:pPr>
            <w:r w:rsidRPr="00D47D07">
              <w:rPr>
                <w:sz w:val="22"/>
                <w:szCs w:val="22"/>
              </w:rPr>
              <w:t>Irreversible</w:t>
            </w:r>
          </w:p>
          <w:p w:rsidR="00D47D07" w:rsidRPr="00D47D07" w:rsidRDefault="00D47D07" w:rsidP="00D47D07">
            <w:pPr>
              <w:rPr>
                <w:sz w:val="22"/>
                <w:szCs w:val="22"/>
              </w:rPr>
            </w:pPr>
            <w:r>
              <w:rPr>
                <w:sz w:val="22"/>
                <w:szCs w:val="22"/>
              </w:rPr>
              <w:t>Bounded</w:t>
            </w:r>
          </w:p>
        </w:tc>
      </w:tr>
      <w:tr w:rsidR="00D47D07" w:rsidTr="00404C32">
        <w:tc>
          <w:tcPr>
            <w:tcW w:w="3080" w:type="dxa"/>
          </w:tcPr>
          <w:p w:rsidR="00D47D07" w:rsidRPr="00D47D07" w:rsidRDefault="00D47D07" w:rsidP="00404C32">
            <w:pPr>
              <w:rPr>
                <w:sz w:val="22"/>
                <w:szCs w:val="22"/>
              </w:rPr>
            </w:pPr>
            <w:r w:rsidRPr="00D47D07">
              <w:rPr>
                <w:sz w:val="22"/>
                <w:szCs w:val="22"/>
              </w:rPr>
              <w:t>Communication*</w:t>
            </w:r>
            <w:r w:rsidR="002913DD">
              <w:rPr>
                <w:sz w:val="22"/>
                <w:szCs w:val="22"/>
              </w:rPr>
              <w:t>(Informed)</w:t>
            </w:r>
          </w:p>
        </w:tc>
        <w:tc>
          <w:tcPr>
            <w:tcW w:w="2557" w:type="dxa"/>
          </w:tcPr>
          <w:p w:rsidR="00D47D07" w:rsidRPr="00D47D07" w:rsidRDefault="00D47D07" w:rsidP="00404C32">
            <w:pPr>
              <w:rPr>
                <w:sz w:val="22"/>
                <w:szCs w:val="22"/>
              </w:rPr>
            </w:pPr>
            <w:r w:rsidRPr="00D47D07">
              <w:rPr>
                <w:sz w:val="22"/>
                <w:szCs w:val="22"/>
              </w:rPr>
              <w:t>Communicating with colleagues</w:t>
            </w:r>
          </w:p>
        </w:tc>
        <w:tc>
          <w:tcPr>
            <w:tcW w:w="3605" w:type="dxa"/>
          </w:tcPr>
          <w:p w:rsidR="00D47D07" w:rsidRPr="00D47D07" w:rsidRDefault="00D47D07" w:rsidP="00404C32">
            <w:pPr>
              <w:rPr>
                <w:sz w:val="22"/>
                <w:szCs w:val="22"/>
              </w:rPr>
            </w:pPr>
            <w:r w:rsidRPr="00D47D07">
              <w:rPr>
                <w:sz w:val="22"/>
                <w:szCs w:val="22"/>
              </w:rPr>
              <w:t>Transformative</w:t>
            </w:r>
          </w:p>
        </w:tc>
      </w:tr>
      <w:tr w:rsidR="00D47D07" w:rsidTr="00404C32">
        <w:tc>
          <w:tcPr>
            <w:tcW w:w="3080" w:type="dxa"/>
          </w:tcPr>
          <w:p w:rsidR="00D47D07" w:rsidRPr="00D47D07" w:rsidRDefault="00D47D07" w:rsidP="00404C32">
            <w:pPr>
              <w:rPr>
                <w:sz w:val="22"/>
                <w:szCs w:val="22"/>
              </w:rPr>
            </w:pPr>
            <w:r w:rsidRPr="00D47D07">
              <w:rPr>
                <w:sz w:val="22"/>
                <w:szCs w:val="22"/>
              </w:rPr>
              <w:t>Communication*</w:t>
            </w:r>
            <w:r w:rsidR="002913DD">
              <w:rPr>
                <w:sz w:val="22"/>
                <w:szCs w:val="22"/>
              </w:rPr>
              <w:t>(Informed)</w:t>
            </w:r>
          </w:p>
        </w:tc>
        <w:tc>
          <w:tcPr>
            <w:tcW w:w="2557" w:type="dxa"/>
          </w:tcPr>
          <w:p w:rsidR="00D47D07" w:rsidRPr="00D47D07" w:rsidRDefault="00D47D07" w:rsidP="00404C32">
            <w:pPr>
              <w:rPr>
                <w:sz w:val="22"/>
                <w:szCs w:val="22"/>
              </w:rPr>
            </w:pPr>
            <w:r w:rsidRPr="00D47D07">
              <w:rPr>
                <w:sz w:val="22"/>
                <w:szCs w:val="22"/>
              </w:rPr>
              <w:t>Writ</w:t>
            </w:r>
            <w:r w:rsidR="00BA24B5">
              <w:rPr>
                <w:sz w:val="22"/>
                <w:szCs w:val="22"/>
              </w:rPr>
              <w:t>i</w:t>
            </w:r>
            <w:r w:rsidR="000D16F6">
              <w:rPr>
                <w:sz w:val="22"/>
                <w:szCs w:val="22"/>
              </w:rPr>
              <w:t>ng papers</w:t>
            </w:r>
          </w:p>
        </w:tc>
        <w:tc>
          <w:tcPr>
            <w:tcW w:w="3605" w:type="dxa"/>
          </w:tcPr>
          <w:p w:rsidR="00D47D07" w:rsidRPr="00D47D07" w:rsidRDefault="00D47D07" w:rsidP="00404C32">
            <w:pPr>
              <w:rPr>
                <w:sz w:val="22"/>
                <w:szCs w:val="22"/>
              </w:rPr>
            </w:pPr>
            <w:r w:rsidRPr="00D47D07">
              <w:rPr>
                <w:sz w:val="22"/>
                <w:szCs w:val="22"/>
              </w:rPr>
              <w:t>Transformative</w:t>
            </w:r>
          </w:p>
          <w:p w:rsidR="00D47D07" w:rsidRPr="00D47D07" w:rsidRDefault="00D47D07" w:rsidP="00404C32">
            <w:pPr>
              <w:rPr>
                <w:sz w:val="22"/>
                <w:szCs w:val="22"/>
              </w:rPr>
            </w:pPr>
            <w:r w:rsidRPr="00D47D07">
              <w:rPr>
                <w:sz w:val="22"/>
                <w:szCs w:val="22"/>
              </w:rPr>
              <w:t>Irreversible</w:t>
            </w:r>
          </w:p>
          <w:p w:rsidR="00D47D07" w:rsidRPr="00D47D07" w:rsidRDefault="00D47D07" w:rsidP="00404C32">
            <w:pPr>
              <w:rPr>
                <w:sz w:val="22"/>
                <w:szCs w:val="22"/>
              </w:rPr>
            </w:pPr>
            <w:r w:rsidRPr="00D47D07">
              <w:rPr>
                <w:sz w:val="22"/>
                <w:szCs w:val="22"/>
              </w:rPr>
              <w:t>Integrative</w:t>
            </w:r>
          </w:p>
          <w:p w:rsidR="00D47D07" w:rsidRPr="00D47D07" w:rsidRDefault="00D47D07" w:rsidP="00404C32">
            <w:pPr>
              <w:rPr>
                <w:sz w:val="22"/>
                <w:szCs w:val="22"/>
              </w:rPr>
            </w:pPr>
            <w:r w:rsidRPr="00D47D07">
              <w:rPr>
                <w:sz w:val="22"/>
                <w:szCs w:val="22"/>
              </w:rPr>
              <w:t>Bounded</w:t>
            </w:r>
          </w:p>
        </w:tc>
      </w:tr>
      <w:tr w:rsidR="00404C32" w:rsidTr="00404C32">
        <w:tc>
          <w:tcPr>
            <w:tcW w:w="3080" w:type="dxa"/>
          </w:tcPr>
          <w:p w:rsidR="00404C32" w:rsidRPr="00D47D07" w:rsidRDefault="00404C32" w:rsidP="00404C32">
            <w:pPr>
              <w:rPr>
                <w:sz w:val="22"/>
                <w:szCs w:val="22"/>
              </w:rPr>
            </w:pPr>
            <w:r w:rsidRPr="00D47D07">
              <w:rPr>
                <w:sz w:val="22"/>
                <w:szCs w:val="22"/>
              </w:rPr>
              <w:t>Conception</w:t>
            </w:r>
          </w:p>
        </w:tc>
        <w:tc>
          <w:tcPr>
            <w:tcW w:w="2557" w:type="dxa"/>
          </w:tcPr>
          <w:p w:rsidR="00404C32" w:rsidRPr="00D47D07" w:rsidRDefault="00404C32" w:rsidP="00404C32">
            <w:pPr>
              <w:rPr>
                <w:sz w:val="22"/>
                <w:szCs w:val="22"/>
              </w:rPr>
            </w:pPr>
            <w:r w:rsidRPr="00D47D07">
              <w:rPr>
                <w:sz w:val="22"/>
                <w:szCs w:val="22"/>
              </w:rPr>
              <w:t>Student-</w:t>
            </w:r>
            <w:proofErr w:type="spellStart"/>
            <w:r w:rsidRPr="00D47D07">
              <w:rPr>
                <w:sz w:val="22"/>
                <w:szCs w:val="22"/>
              </w:rPr>
              <w:t>centred</w:t>
            </w:r>
            <w:proofErr w:type="spellEnd"/>
            <w:r w:rsidRPr="00D47D07">
              <w:rPr>
                <w:sz w:val="22"/>
                <w:szCs w:val="22"/>
              </w:rPr>
              <w:t xml:space="preserve"> </w:t>
            </w:r>
          </w:p>
        </w:tc>
        <w:tc>
          <w:tcPr>
            <w:tcW w:w="3605" w:type="dxa"/>
          </w:tcPr>
          <w:p w:rsidR="00404C32" w:rsidRDefault="00404C32" w:rsidP="00404C32">
            <w:pPr>
              <w:rPr>
                <w:sz w:val="22"/>
                <w:szCs w:val="22"/>
              </w:rPr>
            </w:pPr>
            <w:r w:rsidRPr="00D47D07">
              <w:rPr>
                <w:sz w:val="22"/>
                <w:szCs w:val="22"/>
              </w:rPr>
              <w:t>Transformative</w:t>
            </w:r>
          </w:p>
          <w:p w:rsidR="00D47D07" w:rsidRPr="00D47D07" w:rsidRDefault="00D47D07" w:rsidP="00404C32">
            <w:pPr>
              <w:rPr>
                <w:sz w:val="22"/>
                <w:szCs w:val="22"/>
              </w:rPr>
            </w:pPr>
            <w:r>
              <w:rPr>
                <w:sz w:val="22"/>
                <w:szCs w:val="22"/>
              </w:rPr>
              <w:t>Irreversible</w:t>
            </w:r>
          </w:p>
        </w:tc>
      </w:tr>
    </w:tbl>
    <w:p w:rsidR="005761EE" w:rsidRDefault="00404C32" w:rsidP="005761EE">
      <w:pPr>
        <w:spacing w:line="360" w:lineRule="auto"/>
      </w:pPr>
      <w:r>
        <w:t xml:space="preserve"> </w:t>
      </w:r>
    </w:p>
    <w:p w:rsidR="007020AA" w:rsidRDefault="00BA24B5" w:rsidP="00BA24B5">
      <w:pPr>
        <w:spacing w:line="360" w:lineRule="auto"/>
      </w:pPr>
      <w:r>
        <w:t>This exercise brought to light a</w:t>
      </w:r>
      <w:r w:rsidR="009A5CC5">
        <w:t xml:space="preserve"> number of factors</w:t>
      </w:r>
      <w:r w:rsidR="002517E4">
        <w:t>. Firstly,</w:t>
      </w:r>
      <w:r>
        <w:t xml:space="preserve"> instances of the Informed </w:t>
      </w:r>
      <w:r w:rsidR="002517E4">
        <w:t>D</w:t>
      </w:r>
      <w:r>
        <w:t xml:space="preserve">imension </w:t>
      </w:r>
      <w:r w:rsidR="002517E4">
        <w:t xml:space="preserve">(ID) </w:t>
      </w:r>
      <w:r>
        <w:t>appear more often than either Communicatio</w:t>
      </w:r>
      <w:r w:rsidR="002517E4">
        <w:t xml:space="preserve">n or Conception. Secondly, Informed Dimension </w:t>
      </w:r>
      <w:r w:rsidR="000D16F6">
        <w:t>examples rarely</w:t>
      </w:r>
      <w:r>
        <w:t xml:space="preserve"> extend beyond ID3 – “</w:t>
      </w:r>
      <w:r w:rsidRPr="00D47D07">
        <w:t>Engages with the literature; particularly the discipline literature</w:t>
      </w:r>
      <w:r>
        <w:t>”</w:t>
      </w:r>
      <w:r w:rsidR="002517E4">
        <w:t>. Typically, interviewees concentrated on discipline-specific pedagogical journals, rather than mainstream educational journals.</w:t>
      </w:r>
      <w:r w:rsidR="000D16F6">
        <w:t xml:space="preserve"> Identifying oneself within the discipline is an ontological issue typical of Threshold Concepts, and indicates a pre-threshold state.</w:t>
      </w:r>
    </w:p>
    <w:p w:rsidR="007020AA" w:rsidRDefault="007020AA" w:rsidP="00F75A6E">
      <w:r>
        <w:t>“</w:t>
      </w:r>
      <w:proofErr w:type="gramStart"/>
      <w:r w:rsidRPr="005B4350">
        <w:rPr>
          <w:rFonts w:ascii="Calibri" w:eastAsia="Times New Roman" w:hAnsi="Calibri" w:cs="Times New Roman"/>
          <w:i/>
          <w:color w:val="000000"/>
          <w:lang w:eastAsia="en-GB"/>
        </w:rPr>
        <w:t>things</w:t>
      </w:r>
      <w:proofErr w:type="gramEnd"/>
      <w:r w:rsidRPr="005B4350">
        <w:rPr>
          <w:rFonts w:ascii="Calibri" w:eastAsia="Times New Roman" w:hAnsi="Calibri" w:cs="Times New Roman"/>
          <w:i/>
          <w:color w:val="000000"/>
          <w:lang w:eastAsia="en-GB"/>
        </w:rPr>
        <w:t xml:space="preserve"> like Bioscience Education, fantastic, and I will sort of drop into that occasionally and have a look and pick up some good ideas. The more sort of heavy duty pedagogic literature, I find pretty heavy going myself</w:t>
      </w:r>
      <w:r>
        <w:t>”</w:t>
      </w:r>
    </w:p>
    <w:p w:rsidR="00EB610B" w:rsidRDefault="002517E4" w:rsidP="00BA24B5">
      <w:pPr>
        <w:spacing w:line="360" w:lineRule="auto"/>
      </w:pPr>
      <w:r>
        <w:t>Thirdly, instances of the Communication D</w:t>
      </w:r>
      <w:r w:rsidR="00BA24B5">
        <w:t xml:space="preserve">imension appear bound up with reference to the Informed </w:t>
      </w:r>
      <w:r>
        <w:t>D</w:t>
      </w:r>
      <w:r w:rsidR="001C5259">
        <w:t xml:space="preserve">imension. </w:t>
      </w:r>
      <w:r w:rsidR="00BA24B5">
        <w:t xml:space="preserve">Fourthly, </w:t>
      </w:r>
      <w:r w:rsidR="00F53F90">
        <w:t>there seems to b</w:t>
      </w:r>
      <w:r>
        <w:t>e no relation between Informed Dimension and Communication D</w:t>
      </w:r>
      <w:r w:rsidR="00F53F90">
        <w:t xml:space="preserve">imension, given that interviewees may be involved with </w:t>
      </w:r>
      <w:r w:rsidR="00F93E9A">
        <w:t>dissemination without</w:t>
      </w:r>
      <w:r w:rsidR="00F53F90">
        <w:t xml:space="preserve"> evidence of a high level of engagement with p</w:t>
      </w:r>
      <w:r w:rsidR="00622AEF">
        <w:t>e</w:t>
      </w:r>
      <w:r w:rsidR="000D16F6">
        <w:t>dagogical literature or theory. This</w:t>
      </w:r>
      <w:r w:rsidR="000D16F6">
        <w:t xml:space="preserve"> illustrates the discursive element of Threshold Concepts identified by Meyer and Land </w:t>
      </w:r>
      <w:r w:rsidR="000D16F6">
        <w:fldChar w:fldCharType="begin"/>
      </w:r>
      <w:r w:rsidR="000D16F6">
        <w:instrText xml:space="preserve"> ADDIN ZOTERO_ITEM CSL_CITATION {"citationID":"6ablgujrm","properties":{"formattedCitation":"(2005)","plainCitation":"(2005)"},"citationItems":[{"id":133,"uris":["http://zotero.org/users/386570/items/FI6RKWSB"],"uri":["http://zotero.org/users/386570/items/FI6RKWSB"],"itemData":{"id":133,"type":"article-journal","title":"Threshold concepts and troublesome knowledge (2): Epistemological considerations and a conceptual framework for teaching and learning","container-title":"Higher Education","page":"373-388","volume":"49","author":[{"family":"Meyer","given":"Jan H. F."},{"family":"Land","given":"Ray"}],"issued":{"date-parts":[["2005"]]}},"suppress-author":true}],"schema":"https://github.com/citation-style-language/schema/raw/master/csl-citation.json"} </w:instrText>
      </w:r>
      <w:r w:rsidR="000D16F6">
        <w:fldChar w:fldCharType="separate"/>
      </w:r>
      <w:r w:rsidR="000D16F6" w:rsidRPr="000D16F6">
        <w:rPr>
          <w:rFonts w:ascii="Calibri" w:hAnsi="Calibri"/>
        </w:rPr>
        <w:t>(2005)</w:t>
      </w:r>
      <w:r w:rsidR="000D16F6">
        <w:fldChar w:fldCharType="end"/>
      </w:r>
    </w:p>
    <w:p w:rsidR="001C5259" w:rsidRDefault="001C5259" w:rsidP="00F75A6E">
      <w:r>
        <w:rPr>
          <w:rFonts w:ascii="Calibri" w:eastAsia="Times New Roman" w:hAnsi="Calibri" w:cs="Times New Roman"/>
          <w:color w:val="000000"/>
          <w:lang w:eastAsia="en-GB"/>
        </w:rPr>
        <w:t>“</w:t>
      </w:r>
      <w:r w:rsidRPr="00E021B0">
        <w:rPr>
          <w:rFonts w:ascii="Calibri" w:eastAsia="Times New Roman" w:hAnsi="Calibri" w:cs="Times New Roman"/>
          <w:i/>
          <w:color w:val="000000"/>
          <w:lang w:eastAsia="en-GB"/>
        </w:rPr>
        <w:t>I find the writing of some of these papers quite hard, they don’t come naturally to me, in a different way to how writing a research paper – that didn’t come naturally to me either but I guess I should, I guess I recognise that I need to do more reading around the subject area that I’m actually looking into, and I know that I can be a little bit lax when it comes to actually reading the literature</w:t>
      </w:r>
      <w:r w:rsidRPr="00E021B0">
        <w:rPr>
          <w:rFonts w:ascii="Calibri" w:eastAsia="Times New Roman" w:hAnsi="Calibri" w:cs="Times New Roman"/>
          <w:color w:val="000000"/>
          <w:lang w:eastAsia="en-GB"/>
        </w:rPr>
        <w:t>.</w:t>
      </w:r>
      <w:r>
        <w:rPr>
          <w:rFonts w:ascii="Calibri" w:eastAsia="Times New Roman" w:hAnsi="Calibri" w:cs="Times New Roman"/>
          <w:color w:val="000000"/>
          <w:lang w:eastAsia="en-GB"/>
        </w:rPr>
        <w:t>”</w:t>
      </w:r>
    </w:p>
    <w:p w:rsidR="00BA24B5" w:rsidRDefault="00622AEF" w:rsidP="00BA24B5">
      <w:pPr>
        <w:spacing w:line="360" w:lineRule="auto"/>
      </w:pPr>
      <w:r>
        <w:lastRenderedPageBreak/>
        <w:t>Final</w:t>
      </w:r>
      <w:r w:rsidR="002517E4">
        <w:t>ly, examples of the Conception D</w:t>
      </w:r>
      <w:r>
        <w:t>imension appear un</w:t>
      </w:r>
      <w:r w:rsidR="002517E4">
        <w:t>related to either the Informed D</w:t>
      </w:r>
      <w:r>
        <w:t>i</w:t>
      </w:r>
      <w:r w:rsidR="002517E4">
        <w:t>mension or Communication D</w:t>
      </w:r>
      <w:r>
        <w:t xml:space="preserve">imension, but appear </w:t>
      </w:r>
      <w:r w:rsidR="002517E4">
        <w:t xml:space="preserve">instead </w:t>
      </w:r>
      <w:r>
        <w:t>to be a product of the individual’</w:t>
      </w:r>
      <w:r w:rsidR="00EB610B">
        <w:t>s experience:</w:t>
      </w:r>
    </w:p>
    <w:p w:rsidR="00EB610B" w:rsidRPr="00404C32" w:rsidRDefault="00EB610B" w:rsidP="00F75A6E">
      <w:r>
        <w:t>“</w:t>
      </w:r>
      <w:r w:rsidRPr="00EB610B">
        <w:rPr>
          <w:i/>
        </w:rPr>
        <w:t>when I started teaching, I thought I was there to actually tell them stuff and tell them things that they didn’t know or couldn’t find out, anything other than me, and it took me a good few years to realise that I was there to help them to understand stuff and sort of curate knowledge for them in a way that made sense</w:t>
      </w:r>
      <w:r>
        <w:t xml:space="preserve">… </w:t>
      </w:r>
      <w:r w:rsidRPr="00EB610B">
        <w:rPr>
          <w:rFonts w:ascii="Calibri" w:eastAsia="Times New Roman" w:hAnsi="Calibri" w:cs="Times New Roman"/>
          <w:i/>
          <w:color w:val="000000"/>
          <w:lang w:eastAsia="en-GB"/>
        </w:rPr>
        <w:t>I try to talk to staff, and tell them, this is, if I could give you one thing it would be that insight, into what your role as a teacher is. But I don’t think it’s possible, people kind of have to learn it themselves</w:t>
      </w:r>
      <w:r w:rsidRPr="00EB610B">
        <w:t>.</w:t>
      </w:r>
      <w:r>
        <w:t>”</w:t>
      </w:r>
    </w:p>
    <w:p w:rsidR="00401979" w:rsidRDefault="00C22B2F" w:rsidP="002517E4">
      <w:pPr>
        <w:spacing w:line="360" w:lineRule="auto"/>
      </w:pPr>
      <w:r>
        <w:t xml:space="preserve">This approach identified where potential areas where threshold concepts exist. </w:t>
      </w:r>
      <w:r w:rsidR="002517E4">
        <w:t>While it could be argued that there are threshold concepts at each of the stages of the model, t</w:t>
      </w:r>
      <w:r>
        <w:t>he first of these</w:t>
      </w:r>
      <w:r w:rsidR="001B0CF6">
        <w:t xml:space="preserve"> areas</w:t>
      </w:r>
      <w:r>
        <w:t xml:space="preserve"> </w:t>
      </w:r>
      <w:r w:rsidR="002517E4">
        <w:t xml:space="preserve">where there a real barrier exists </w:t>
      </w:r>
      <w:r>
        <w:t>is moving from a general use of pedagogical literature especially that of the discipline, to synoptic capacity and pedagogic content knowledge</w:t>
      </w:r>
      <w:r w:rsidR="001B0CF6">
        <w:t xml:space="preserve"> (ID3 to ID4). The second area is the rel</w:t>
      </w:r>
      <w:r w:rsidR="002517E4">
        <w:t>ationship between the Informed Dimension and Communication D</w:t>
      </w:r>
      <w:r w:rsidR="001B0CF6">
        <w:t xml:space="preserve">imension, </w:t>
      </w:r>
      <w:r w:rsidR="002517E4">
        <w:t>where public dissemination may take place without refer</w:t>
      </w:r>
      <w:r w:rsidR="00C26300">
        <w:t>ence to pedagogical literature, while</w:t>
      </w:r>
      <w:r w:rsidR="001B0CF6">
        <w:t xml:space="preserve"> the third is the relationship between the Informe</w:t>
      </w:r>
      <w:r w:rsidR="002517E4">
        <w:t>d Dimension and the Conception D</w:t>
      </w:r>
      <w:r w:rsidR="001B0CF6">
        <w:t>imension</w:t>
      </w:r>
      <w:r w:rsidR="002517E4">
        <w:t xml:space="preserve"> where a lack of knowledge of pedagogical literature results in a more teacher-centred conception of teaching</w:t>
      </w:r>
      <w:r w:rsidR="00C26300">
        <w:t>. These Threshold Concepts are bound up with the ontological dissonance of scientist/pedagogical researcher and the lack of experience with pedagogical discourse</w:t>
      </w:r>
      <w:r w:rsidR="001B0CF6">
        <w:t>.</w:t>
      </w:r>
    </w:p>
    <w:p w:rsidR="00224559" w:rsidRPr="002517E4" w:rsidRDefault="00224559" w:rsidP="002517E4">
      <w:pPr>
        <w:spacing w:line="360" w:lineRule="auto"/>
      </w:pPr>
    </w:p>
    <w:p w:rsidR="00401979" w:rsidRPr="00401979" w:rsidRDefault="00401979" w:rsidP="00C22B2F">
      <w:pPr>
        <w:spacing w:line="360" w:lineRule="auto"/>
        <w:rPr>
          <w:sz w:val="24"/>
          <w:szCs w:val="24"/>
        </w:rPr>
      </w:pPr>
      <w:r w:rsidRPr="00401979">
        <w:rPr>
          <w:b/>
          <w:sz w:val="24"/>
          <w:szCs w:val="24"/>
        </w:rPr>
        <w:t>Troublesome knowledge</w:t>
      </w:r>
    </w:p>
    <w:p w:rsidR="00401979" w:rsidRDefault="00401979" w:rsidP="00C22B2F">
      <w:pPr>
        <w:spacing w:line="360" w:lineRule="auto"/>
      </w:pPr>
      <w:r>
        <w:t>In a second round of transcript interrogation</w:t>
      </w:r>
      <w:r w:rsidR="001C5259">
        <w:t>, I looked for instances of “Troublesome knowledge”</w:t>
      </w:r>
      <w:r w:rsidR="00AB2E8F">
        <w:t xml:space="preserve">. </w:t>
      </w:r>
      <w:r w:rsidR="002517E4">
        <w:t xml:space="preserve"> </w:t>
      </w:r>
      <w:r w:rsidR="00C26300">
        <w:fldChar w:fldCharType="begin"/>
      </w:r>
      <w:r w:rsidR="00C26300">
        <w:instrText xml:space="preserve"> REF _Ref402639431 \h </w:instrText>
      </w:r>
      <w:r w:rsidR="00C26300">
        <w:fldChar w:fldCharType="separate"/>
      </w:r>
      <w:r w:rsidR="00C26300">
        <w:t xml:space="preserve">Table </w:t>
      </w:r>
      <w:r w:rsidR="00C26300">
        <w:rPr>
          <w:noProof/>
        </w:rPr>
        <w:t>6</w:t>
      </w:r>
      <w:r w:rsidR="00C26300">
        <w:fldChar w:fldCharType="end"/>
      </w:r>
      <w:r w:rsidR="00C26300">
        <w:t xml:space="preserve"> </w:t>
      </w:r>
      <w:r w:rsidR="00AB2E8F">
        <w:t xml:space="preserve">illustrates categories of </w:t>
      </w:r>
      <w:r w:rsidR="00C26300">
        <w:t>Troublesome Knowledge</w:t>
      </w:r>
      <w:r w:rsidR="00AB2E8F">
        <w:t xml:space="preserve"> </w:t>
      </w:r>
      <w:r w:rsidR="00C26300">
        <w:t>and the levels of</w:t>
      </w:r>
      <w:r w:rsidR="00C01466">
        <w:t xml:space="preserve"> dimensions offered by</w:t>
      </w:r>
      <w:r w:rsidR="00C26300">
        <w:t xml:space="preserve"> </w:t>
      </w:r>
      <w:proofErr w:type="spellStart"/>
      <w:r w:rsidR="00AB2E8F">
        <w:t>Trigwell</w:t>
      </w:r>
      <w:proofErr w:type="spellEnd"/>
      <w:r w:rsidR="00AB2E8F">
        <w:t xml:space="preserve"> et a</w:t>
      </w:r>
      <w:r w:rsidR="00C01466">
        <w:t>l (2000)</w:t>
      </w:r>
      <w:r w:rsidR="00C26300">
        <w:t xml:space="preserve"> </w:t>
      </w:r>
      <w:r w:rsidR="00C01466">
        <w:t>to which they relate</w:t>
      </w:r>
      <w:r w:rsidR="00AB2E8F">
        <w:t>.</w:t>
      </w:r>
    </w:p>
    <w:p w:rsidR="00224559" w:rsidRDefault="00224559">
      <w:pPr>
        <w:rPr>
          <w:i/>
          <w:iCs/>
          <w:sz w:val="18"/>
          <w:szCs w:val="18"/>
        </w:rPr>
      </w:pPr>
      <w:bookmarkStart w:id="4" w:name="_Ref399857807"/>
      <w:r>
        <w:br w:type="page"/>
      </w:r>
    </w:p>
    <w:p w:rsidR="00F93E9A" w:rsidRPr="00F93E9A" w:rsidRDefault="002517E4" w:rsidP="002517E4">
      <w:pPr>
        <w:pStyle w:val="Caption"/>
      </w:pPr>
      <w:bookmarkStart w:id="5" w:name="_Ref402639431"/>
      <w:r>
        <w:lastRenderedPageBreak/>
        <w:t xml:space="preserve">Table </w:t>
      </w:r>
      <w:fldSimple w:instr=" SEQ Table \* ARABIC ">
        <w:r w:rsidR="00D17F4A">
          <w:rPr>
            <w:noProof/>
          </w:rPr>
          <w:t>6</w:t>
        </w:r>
      </w:fldSimple>
      <w:bookmarkEnd w:id="4"/>
      <w:bookmarkEnd w:id="5"/>
      <w:r>
        <w:t xml:space="preserve"> </w:t>
      </w:r>
      <w:r w:rsidRPr="003E71E1">
        <w:t>Identification of potential Threshold Concepts associated with Engagement with SoTL</w:t>
      </w:r>
      <w:r w:rsidR="00C26300">
        <w:t xml:space="preserve"> with Troublesome Knowledge</w:t>
      </w:r>
    </w:p>
    <w:tbl>
      <w:tblPr>
        <w:tblStyle w:val="TableGrid"/>
        <w:tblW w:w="0" w:type="auto"/>
        <w:tblLook w:val="04A0" w:firstRow="1" w:lastRow="0" w:firstColumn="1" w:lastColumn="0" w:noHBand="0" w:noVBand="1"/>
      </w:tblPr>
      <w:tblGrid>
        <w:gridCol w:w="3080"/>
        <w:gridCol w:w="3081"/>
        <w:gridCol w:w="3081"/>
      </w:tblGrid>
      <w:tr w:rsidR="00AB2E8F" w:rsidTr="00AB2E8F">
        <w:tc>
          <w:tcPr>
            <w:tcW w:w="3080" w:type="dxa"/>
          </w:tcPr>
          <w:p w:rsidR="00AB2E8F" w:rsidRPr="00AB2E8F" w:rsidRDefault="00AB2E8F" w:rsidP="00C22B2F">
            <w:pPr>
              <w:spacing w:line="360" w:lineRule="auto"/>
              <w:rPr>
                <w:b/>
                <w:sz w:val="22"/>
                <w:szCs w:val="22"/>
              </w:rPr>
            </w:pPr>
            <w:r w:rsidRPr="00AB2E8F">
              <w:rPr>
                <w:b/>
                <w:sz w:val="22"/>
                <w:szCs w:val="22"/>
              </w:rPr>
              <w:t>Dimension of Scholarship</w:t>
            </w:r>
          </w:p>
        </w:tc>
        <w:tc>
          <w:tcPr>
            <w:tcW w:w="3081" w:type="dxa"/>
          </w:tcPr>
          <w:p w:rsidR="00AB2E8F" w:rsidRPr="00AB2E8F" w:rsidRDefault="00AB2E8F" w:rsidP="00C22B2F">
            <w:pPr>
              <w:spacing w:line="360" w:lineRule="auto"/>
              <w:rPr>
                <w:b/>
                <w:sz w:val="22"/>
                <w:szCs w:val="22"/>
              </w:rPr>
            </w:pPr>
            <w:r w:rsidRPr="00AB2E8F">
              <w:rPr>
                <w:b/>
                <w:sz w:val="22"/>
                <w:szCs w:val="22"/>
              </w:rPr>
              <w:t>Level</w:t>
            </w:r>
          </w:p>
        </w:tc>
        <w:tc>
          <w:tcPr>
            <w:tcW w:w="3081" w:type="dxa"/>
          </w:tcPr>
          <w:p w:rsidR="00AB2E8F" w:rsidRPr="00AB2E8F" w:rsidRDefault="00AB2E8F" w:rsidP="00C22B2F">
            <w:pPr>
              <w:spacing w:line="360" w:lineRule="auto"/>
              <w:rPr>
                <w:b/>
                <w:sz w:val="22"/>
                <w:szCs w:val="22"/>
              </w:rPr>
            </w:pPr>
            <w:r w:rsidRPr="00AB2E8F">
              <w:rPr>
                <w:b/>
                <w:sz w:val="22"/>
                <w:szCs w:val="22"/>
              </w:rPr>
              <w:t>Troublesome knowledge</w:t>
            </w:r>
          </w:p>
        </w:tc>
      </w:tr>
      <w:tr w:rsidR="00AB2E8F" w:rsidTr="00AB2E8F">
        <w:tc>
          <w:tcPr>
            <w:tcW w:w="3080" w:type="dxa"/>
          </w:tcPr>
          <w:p w:rsidR="00AB2E8F" w:rsidRPr="00DB7C24" w:rsidRDefault="00AB2E8F" w:rsidP="00AB2E8F">
            <w:pPr>
              <w:rPr>
                <w:sz w:val="22"/>
                <w:szCs w:val="22"/>
              </w:rPr>
            </w:pPr>
            <w:r w:rsidRPr="00DB7C24">
              <w:rPr>
                <w:sz w:val="22"/>
                <w:szCs w:val="22"/>
              </w:rPr>
              <w:t>Informed</w:t>
            </w:r>
          </w:p>
        </w:tc>
        <w:tc>
          <w:tcPr>
            <w:tcW w:w="3081" w:type="dxa"/>
          </w:tcPr>
          <w:p w:rsidR="00AB2E8F" w:rsidRPr="00DB7C24" w:rsidRDefault="00AB2E8F" w:rsidP="00AB2E8F">
            <w:pPr>
              <w:rPr>
                <w:sz w:val="22"/>
                <w:szCs w:val="22"/>
              </w:rPr>
            </w:pPr>
            <w:r w:rsidRPr="00DB7C24">
              <w:rPr>
                <w:sz w:val="22"/>
                <w:szCs w:val="22"/>
              </w:rPr>
              <w:t>Engaging with the literature</w:t>
            </w:r>
          </w:p>
        </w:tc>
        <w:tc>
          <w:tcPr>
            <w:tcW w:w="3081" w:type="dxa"/>
          </w:tcPr>
          <w:p w:rsidR="00DD1750" w:rsidRDefault="00DD1750" w:rsidP="00AB2E8F">
            <w:pPr>
              <w:rPr>
                <w:sz w:val="22"/>
                <w:szCs w:val="22"/>
              </w:rPr>
            </w:pPr>
            <w:r>
              <w:rPr>
                <w:sz w:val="22"/>
                <w:szCs w:val="22"/>
              </w:rPr>
              <w:t>Alien knowledge</w:t>
            </w:r>
          </w:p>
          <w:p w:rsidR="00F93E9A" w:rsidRPr="00DB7C24" w:rsidRDefault="00F93E9A" w:rsidP="00AB2E8F">
            <w:pPr>
              <w:rPr>
                <w:sz w:val="22"/>
                <w:szCs w:val="22"/>
              </w:rPr>
            </w:pPr>
            <w:r w:rsidRPr="00DB7C24">
              <w:rPr>
                <w:sz w:val="22"/>
                <w:szCs w:val="22"/>
              </w:rPr>
              <w:t>Conceptually difficult knowledge</w:t>
            </w:r>
          </w:p>
          <w:p w:rsidR="00F93E9A" w:rsidRPr="00DB7C24" w:rsidRDefault="00F93E9A" w:rsidP="00AB2E8F">
            <w:pPr>
              <w:rPr>
                <w:sz w:val="22"/>
                <w:szCs w:val="22"/>
              </w:rPr>
            </w:pPr>
            <w:r w:rsidRPr="00DB7C24">
              <w:rPr>
                <w:sz w:val="22"/>
                <w:szCs w:val="22"/>
              </w:rPr>
              <w:t>Troublesome language</w:t>
            </w:r>
          </w:p>
        </w:tc>
      </w:tr>
      <w:tr w:rsidR="00AB2E8F" w:rsidTr="00AB2E8F">
        <w:tc>
          <w:tcPr>
            <w:tcW w:w="3080" w:type="dxa"/>
          </w:tcPr>
          <w:p w:rsidR="00AB2E8F" w:rsidRPr="00DB7C24" w:rsidRDefault="00AB2E8F" w:rsidP="00AB2E8F">
            <w:pPr>
              <w:rPr>
                <w:sz w:val="22"/>
                <w:szCs w:val="22"/>
              </w:rPr>
            </w:pPr>
            <w:r w:rsidRPr="00DB7C24">
              <w:rPr>
                <w:sz w:val="22"/>
                <w:szCs w:val="22"/>
              </w:rPr>
              <w:t>Communication</w:t>
            </w:r>
          </w:p>
        </w:tc>
        <w:tc>
          <w:tcPr>
            <w:tcW w:w="3081" w:type="dxa"/>
          </w:tcPr>
          <w:p w:rsidR="00AB2E8F" w:rsidRPr="00DB7C24" w:rsidRDefault="00AB2E8F" w:rsidP="00AB2E8F">
            <w:pPr>
              <w:rPr>
                <w:sz w:val="22"/>
                <w:szCs w:val="22"/>
              </w:rPr>
            </w:pPr>
            <w:r w:rsidRPr="00DB7C24">
              <w:rPr>
                <w:sz w:val="22"/>
                <w:szCs w:val="22"/>
              </w:rPr>
              <w:t>Writing journal papers</w:t>
            </w:r>
            <w:r w:rsidR="00F93E9A" w:rsidRPr="00DB7C24">
              <w:rPr>
                <w:sz w:val="22"/>
                <w:szCs w:val="22"/>
              </w:rPr>
              <w:t>/publishing</w:t>
            </w:r>
          </w:p>
        </w:tc>
        <w:tc>
          <w:tcPr>
            <w:tcW w:w="3081" w:type="dxa"/>
          </w:tcPr>
          <w:p w:rsidR="00AB2E8F" w:rsidRPr="00DB7C24" w:rsidRDefault="00F93E9A" w:rsidP="00AB2E8F">
            <w:pPr>
              <w:rPr>
                <w:sz w:val="22"/>
                <w:szCs w:val="22"/>
              </w:rPr>
            </w:pPr>
            <w:r w:rsidRPr="00DB7C24">
              <w:rPr>
                <w:sz w:val="22"/>
                <w:szCs w:val="22"/>
              </w:rPr>
              <w:t>Troublesome language</w:t>
            </w:r>
          </w:p>
        </w:tc>
      </w:tr>
      <w:tr w:rsidR="00DB7C24" w:rsidTr="00AB2E8F">
        <w:tc>
          <w:tcPr>
            <w:tcW w:w="3080" w:type="dxa"/>
          </w:tcPr>
          <w:p w:rsidR="00DB7C24" w:rsidRPr="00DB7C24" w:rsidRDefault="00DB7C24" w:rsidP="00F93E9A">
            <w:pPr>
              <w:rPr>
                <w:sz w:val="22"/>
                <w:szCs w:val="22"/>
              </w:rPr>
            </w:pPr>
            <w:r w:rsidRPr="00DB7C24">
              <w:rPr>
                <w:sz w:val="22"/>
                <w:szCs w:val="22"/>
              </w:rPr>
              <w:t>Conception</w:t>
            </w:r>
          </w:p>
        </w:tc>
        <w:tc>
          <w:tcPr>
            <w:tcW w:w="3081" w:type="dxa"/>
          </w:tcPr>
          <w:p w:rsidR="00DB7C24" w:rsidRPr="00DB7C24" w:rsidRDefault="00DB7C24" w:rsidP="00F93E9A">
            <w:pPr>
              <w:rPr>
                <w:sz w:val="22"/>
                <w:szCs w:val="22"/>
              </w:rPr>
            </w:pPr>
            <w:r w:rsidRPr="00DB7C24">
              <w:rPr>
                <w:sz w:val="22"/>
                <w:szCs w:val="22"/>
              </w:rPr>
              <w:t>Teacher-</w:t>
            </w:r>
            <w:proofErr w:type="spellStart"/>
            <w:r w:rsidRPr="00DB7C24">
              <w:rPr>
                <w:sz w:val="22"/>
                <w:szCs w:val="22"/>
              </w:rPr>
              <w:t>centred</w:t>
            </w:r>
            <w:proofErr w:type="spellEnd"/>
            <w:r w:rsidRPr="00DB7C24">
              <w:rPr>
                <w:sz w:val="22"/>
                <w:szCs w:val="22"/>
              </w:rPr>
              <w:t xml:space="preserve"> to student-</w:t>
            </w:r>
            <w:proofErr w:type="spellStart"/>
            <w:r w:rsidRPr="00DB7C24">
              <w:rPr>
                <w:sz w:val="22"/>
                <w:szCs w:val="22"/>
              </w:rPr>
              <w:t>centred</w:t>
            </w:r>
            <w:proofErr w:type="spellEnd"/>
          </w:p>
        </w:tc>
        <w:tc>
          <w:tcPr>
            <w:tcW w:w="3081" w:type="dxa"/>
          </w:tcPr>
          <w:p w:rsidR="00DB7C24" w:rsidRPr="00DB7C24" w:rsidRDefault="00DB7C24" w:rsidP="00F93E9A">
            <w:pPr>
              <w:rPr>
                <w:sz w:val="22"/>
                <w:szCs w:val="22"/>
              </w:rPr>
            </w:pPr>
            <w:r w:rsidRPr="00DB7C24">
              <w:rPr>
                <w:sz w:val="22"/>
                <w:szCs w:val="22"/>
              </w:rPr>
              <w:t>Conceptually difficult knowledge</w:t>
            </w:r>
          </w:p>
          <w:p w:rsidR="00DB7C24" w:rsidRPr="00DB7C24" w:rsidRDefault="00DB7C24" w:rsidP="00F93E9A">
            <w:pPr>
              <w:rPr>
                <w:sz w:val="22"/>
                <w:szCs w:val="22"/>
              </w:rPr>
            </w:pPr>
            <w:r w:rsidRPr="00DB7C24">
              <w:rPr>
                <w:sz w:val="22"/>
                <w:szCs w:val="22"/>
              </w:rPr>
              <w:t>Tacit knowledge</w:t>
            </w:r>
          </w:p>
        </w:tc>
      </w:tr>
      <w:tr w:rsidR="003A475F" w:rsidTr="00AB2E8F">
        <w:tc>
          <w:tcPr>
            <w:tcW w:w="3080" w:type="dxa"/>
          </w:tcPr>
          <w:p w:rsidR="003A475F" w:rsidRPr="00C7048B" w:rsidRDefault="0084433D" w:rsidP="003A475F">
            <w:pPr>
              <w:rPr>
                <w:i/>
                <w:sz w:val="22"/>
                <w:szCs w:val="22"/>
              </w:rPr>
            </w:pPr>
            <w:r w:rsidRPr="00C7048B">
              <w:rPr>
                <w:i/>
                <w:sz w:val="22"/>
                <w:szCs w:val="22"/>
              </w:rPr>
              <w:t>Analytical</w:t>
            </w:r>
          </w:p>
        </w:tc>
        <w:tc>
          <w:tcPr>
            <w:tcW w:w="3081" w:type="dxa"/>
          </w:tcPr>
          <w:p w:rsidR="003A475F" w:rsidRPr="00DB7C24" w:rsidRDefault="003A475F" w:rsidP="003A475F">
            <w:pPr>
              <w:rPr>
                <w:sz w:val="22"/>
                <w:szCs w:val="22"/>
              </w:rPr>
            </w:pPr>
            <w:r w:rsidRPr="00DB7C24">
              <w:rPr>
                <w:sz w:val="22"/>
                <w:szCs w:val="22"/>
              </w:rPr>
              <w:t>How to approach</w:t>
            </w:r>
            <w:r>
              <w:rPr>
                <w:sz w:val="22"/>
                <w:szCs w:val="22"/>
              </w:rPr>
              <w:t>/handle</w:t>
            </w:r>
            <w:r w:rsidRPr="00DB7C24">
              <w:rPr>
                <w:sz w:val="22"/>
                <w:szCs w:val="22"/>
              </w:rPr>
              <w:t xml:space="preserve"> data</w:t>
            </w:r>
          </w:p>
        </w:tc>
        <w:tc>
          <w:tcPr>
            <w:tcW w:w="3081" w:type="dxa"/>
          </w:tcPr>
          <w:p w:rsidR="003A475F" w:rsidRDefault="003A475F" w:rsidP="003A475F">
            <w:pPr>
              <w:rPr>
                <w:sz w:val="22"/>
                <w:szCs w:val="22"/>
              </w:rPr>
            </w:pPr>
            <w:r w:rsidRPr="00DB7C24">
              <w:rPr>
                <w:sz w:val="22"/>
                <w:szCs w:val="22"/>
              </w:rPr>
              <w:t>Alien knowledge</w:t>
            </w:r>
          </w:p>
          <w:p w:rsidR="003A475F" w:rsidRDefault="003A475F" w:rsidP="003A475F">
            <w:pPr>
              <w:rPr>
                <w:sz w:val="22"/>
                <w:szCs w:val="22"/>
              </w:rPr>
            </w:pPr>
            <w:r>
              <w:rPr>
                <w:sz w:val="22"/>
                <w:szCs w:val="22"/>
              </w:rPr>
              <w:t>Ritual knowledge</w:t>
            </w:r>
          </w:p>
          <w:p w:rsidR="003A475F" w:rsidRPr="00DB7C24" w:rsidRDefault="003A475F" w:rsidP="003A475F">
            <w:pPr>
              <w:rPr>
                <w:sz w:val="22"/>
                <w:szCs w:val="22"/>
              </w:rPr>
            </w:pPr>
            <w:r>
              <w:rPr>
                <w:sz w:val="22"/>
                <w:szCs w:val="22"/>
              </w:rPr>
              <w:t>Tacit knowledge</w:t>
            </w:r>
          </w:p>
        </w:tc>
      </w:tr>
      <w:tr w:rsidR="003A475F" w:rsidTr="00AB2E8F">
        <w:tc>
          <w:tcPr>
            <w:tcW w:w="3080" w:type="dxa"/>
          </w:tcPr>
          <w:p w:rsidR="003A475F" w:rsidRPr="00C7048B" w:rsidRDefault="0084433D" w:rsidP="003A475F">
            <w:pPr>
              <w:rPr>
                <w:i/>
                <w:sz w:val="22"/>
                <w:szCs w:val="22"/>
              </w:rPr>
            </w:pPr>
            <w:r w:rsidRPr="00C7048B">
              <w:rPr>
                <w:i/>
                <w:sz w:val="22"/>
                <w:szCs w:val="22"/>
              </w:rPr>
              <w:t>Analytical</w:t>
            </w:r>
          </w:p>
        </w:tc>
        <w:tc>
          <w:tcPr>
            <w:tcW w:w="3081" w:type="dxa"/>
          </w:tcPr>
          <w:p w:rsidR="003A475F" w:rsidRPr="00DB7C24" w:rsidRDefault="003A475F" w:rsidP="003A475F">
            <w:pPr>
              <w:rPr>
                <w:sz w:val="22"/>
                <w:szCs w:val="22"/>
              </w:rPr>
            </w:pPr>
            <w:r w:rsidRPr="00DB7C24">
              <w:rPr>
                <w:sz w:val="22"/>
                <w:szCs w:val="22"/>
              </w:rPr>
              <w:t>Understanding research methods</w:t>
            </w:r>
          </w:p>
        </w:tc>
        <w:tc>
          <w:tcPr>
            <w:tcW w:w="3081" w:type="dxa"/>
          </w:tcPr>
          <w:p w:rsidR="006D3E92" w:rsidRDefault="006D3E92" w:rsidP="003A475F">
            <w:pPr>
              <w:rPr>
                <w:sz w:val="22"/>
                <w:szCs w:val="22"/>
              </w:rPr>
            </w:pPr>
            <w:r>
              <w:rPr>
                <w:sz w:val="22"/>
                <w:szCs w:val="22"/>
              </w:rPr>
              <w:t>Alien knowledge</w:t>
            </w:r>
          </w:p>
          <w:p w:rsidR="006D3E92" w:rsidRPr="00DB7C24" w:rsidRDefault="003A475F" w:rsidP="003A475F">
            <w:pPr>
              <w:rPr>
                <w:sz w:val="22"/>
                <w:szCs w:val="22"/>
              </w:rPr>
            </w:pPr>
            <w:r w:rsidRPr="00DB7C24">
              <w:rPr>
                <w:sz w:val="22"/>
                <w:szCs w:val="22"/>
              </w:rPr>
              <w:t>Tacit knowledge</w:t>
            </w:r>
          </w:p>
        </w:tc>
      </w:tr>
      <w:tr w:rsidR="0084433D" w:rsidTr="00AB2E8F">
        <w:tc>
          <w:tcPr>
            <w:tcW w:w="3080" w:type="dxa"/>
          </w:tcPr>
          <w:p w:rsidR="0084433D" w:rsidRPr="00C7048B" w:rsidRDefault="0084433D" w:rsidP="0084433D">
            <w:pPr>
              <w:rPr>
                <w:i/>
                <w:sz w:val="22"/>
                <w:szCs w:val="22"/>
              </w:rPr>
            </w:pPr>
            <w:r w:rsidRPr="00C7048B">
              <w:rPr>
                <w:i/>
                <w:sz w:val="22"/>
                <w:szCs w:val="22"/>
              </w:rPr>
              <w:t>Paradigm</w:t>
            </w:r>
          </w:p>
        </w:tc>
        <w:tc>
          <w:tcPr>
            <w:tcW w:w="3081" w:type="dxa"/>
          </w:tcPr>
          <w:p w:rsidR="0084433D" w:rsidRPr="00DB7C24" w:rsidRDefault="0084433D" w:rsidP="0084433D">
            <w:pPr>
              <w:rPr>
                <w:sz w:val="22"/>
                <w:szCs w:val="22"/>
              </w:rPr>
            </w:pPr>
            <w:r w:rsidRPr="00DB7C24">
              <w:rPr>
                <w:sz w:val="22"/>
                <w:szCs w:val="22"/>
              </w:rPr>
              <w:t>Definition of SoTL</w:t>
            </w:r>
          </w:p>
        </w:tc>
        <w:tc>
          <w:tcPr>
            <w:tcW w:w="3081" w:type="dxa"/>
          </w:tcPr>
          <w:p w:rsidR="0084433D" w:rsidRPr="00DB7C24" w:rsidRDefault="0084433D" w:rsidP="0084433D">
            <w:pPr>
              <w:rPr>
                <w:sz w:val="22"/>
                <w:szCs w:val="22"/>
              </w:rPr>
            </w:pPr>
            <w:r w:rsidRPr="00DB7C24">
              <w:rPr>
                <w:sz w:val="22"/>
                <w:szCs w:val="22"/>
              </w:rPr>
              <w:t>Conceptually difficult knowledge</w:t>
            </w:r>
          </w:p>
        </w:tc>
      </w:tr>
      <w:tr w:rsidR="0084433D" w:rsidTr="00AB2E8F">
        <w:tc>
          <w:tcPr>
            <w:tcW w:w="3080" w:type="dxa"/>
          </w:tcPr>
          <w:p w:rsidR="0084433D" w:rsidRPr="00C7048B" w:rsidRDefault="0084433D" w:rsidP="0084433D">
            <w:pPr>
              <w:rPr>
                <w:i/>
                <w:sz w:val="22"/>
                <w:szCs w:val="22"/>
              </w:rPr>
            </w:pPr>
            <w:r w:rsidRPr="00C7048B">
              <w:rPr>
                <w:i/>
                <w:sz w:val="22"/>
                <w:szCs w:val="22"/>
              </w:rPr>
              <w:t>Paradigm</w:t>
            </w:r>
          </w:p>
        </w:tc>
        <w:tc>
          <w:tcPr>
            <w:tcW w:w="3081" w:type="dxa"/>
          </w:tcPr>
          <w:p w:rsidR="0084433D" w:rsidRPr="00DB7C24" w:rsidRDefault="0084433D" w:rsidP="0084433D">
            <w:pPr>
              <w:rPr>
                <w:sz w:val="22"/>
                <w:szCs w:val="22"/>
              </w:rPr>
            </w:pPr>
            <w:r w:rsidRPr="00DB7C24">
              <w:rPr>
                <w:sz w:val="22"/>
                <w:szCs w:val="22"/>
              </w:rPr>
              <w:t>Understanding pedagogy</w:t>
            </w:r>
          </w:p>
        </w:tc>
        <w:tc>
          <w:tcPr>
            <w:tcW w:w="3081" w:type="dxa"/>
          </w:tcPr>
          <w:p w:rsidR="0084433D" w:rsidRDefault="0084433D" w:rsidP="0084433D">
            <w:pPr>
              <w:rPr>
                <w:sz w:val="22"/>
                <w:szCs w:val="22"/>
              </w:rPr>
            </w:pPr>
            <w:r w:rsidRPr="00DB7C24">
              <w:rPr>
                <w:sz w:val="22"/>
                <w:szCs w:val="22"/>
              </w:rPr>
              <w:t>Alien knowledge</w:t>
            </w:r>
          </w:p>
          <w:p w:rsidR="00E35330" w:rsidRPr="00DB7C24" w:rsidRDefault="00E35330" w:rsidP="0084433D">
            <w:pPr>
              <w:rPr>
                <w:sz w:val="22"/>
                <w:szCs w:val="22"/>
              </w:rPr>
            </w:pPr>
            <w:r>
              <w:rPr>
                <w:sz w:val="22"/>
                <w:szCs w:val="22"/>
              </w:rPr>
              <w:t>Inert knowledge</w:t>
            </w:r>
          </w:p>
        </w:tc>
      </w:tr>
      <w:tr w:rsidR="0084433D" w:rsidTr="00AB2E8F">
        <w:tc>
          <w:tcPr>
            <w:tcW w:w="3080" w:type="dxa"/>
          </w:tcPr>
          <w:p w:rsidR="0084433D" w:rsidRPr="00C7048B" w:rsidRDefault="0084433D" w:rsidP="0084433D">
            <w:pPr>
              <w:rPr>
                <w:i/>
                <w:sz w:val="22"/>
                <w:szCs w:val="22"/>
              </w:rPr>
            </w:pPr>
            <w:r w:rsidRPr="00C7048B">
              <w:rPr>
                <w:i/>
                <w:sz w:val="22"/>
                <w:szCs w:val="22"/>
              </w:rPr>
              <w:t>Paradigm</w:t>
            </w:r>
          </w:p>
        </w:tc>
        <w:tc>
          <w:tcPr>
            <w:tcW w:w="3081" w:type="dxa"/>
          </w:tcPr>
          <w:p w:rsidR="0084433D" w:rsidRPr="00DB7C24" w:rsidRDefault="0084433D" w:rsidP="0084433D">
            <w:pPr>
              <w:rPr>
                <w:sz w:val="22"/>
                <w:szCs w:val="22"/>
              </w:rPr>
            </w:pPr>
            <w:r w:rsidRPr="00DB7C24">
              <w:rPr>
                <w:sz w:val="22"/>
                <w:szCs w:val="22"/>
              </w:rPr>
              <w:t>Understanding paradigm</w:t>
            </w:r>
          </w:p>
        </w:tc>
        <w:tc>
          <w:tcPr>
            <w:tcW w:w="3081" w:type="dxa"/>
          </w:tcPr>
          <w:p w:rsidR="00E35330" w:rsidRDefault="00E35330" w:rsidP="0084433D">
            <w:pPr>
              <w:rPr>
                <w:sz w:val="22"/>
                <w:szCs w:val="22"/>
              </w:rPr>
            </w:pPr>
            <w:r>
              <w:rPr>
                <w:sz w:val="22"/>
                <w:szCs w:val="22"/>
              </w:rPr>
              <w:t>Alien knowledge</w:t>
            </w:r>
          </w:p>
          <w:p w:rsidR="0084433D" w:rsidRPr="00DB7C24" w:rsidRDefault="0084433D" w:rsidP="0084433D">
            <w:pPr>
              <w:rPr>
                <w:sz w:val="22"/>
                <w:szCs w:val="22"/>
              </w:rPr>
            </w:pPr>
            <w:r w:rsidRPr="00DB7C24">
              <w:rPr>
                <w:sz w:val="22"/>
                <w:szCs w:val="22"/>
              </w:rPr>
              <w:t>Conceptually difficult knowledge</w:t>
            </w:r>
          </w:p>
        </w:tc>
      </w:tr>
    </w:tbl>
    <w:p w:rsidR="00DB7C24" w:rsidRDefault="00DB7C24" w:rsidP="00C22B2F">
      <w:pPr>
        <w:spacing w:line="360" w:lineRule="auto"/>
      </w:pPr>
    </w:p>
    <w:p w:rsidR="00DB7C24" w:rsidRDefault="00DB7C24" w:rsidP="00DB7C24">
      <w:pPr>
        <w:spacing w:line="360" w:lineRule="auto"/>
      </w:pPr>
      <w:r>
        <w:t>As</w:t>
      </w:r>
      <w:r w:rsidR="00104E48">
        <w:t xml:space="preserve"> I identified the instances of T</w:t>
      </w:r>
      <w:r>
        <w:t>roublesome</w:t>
      </w:r>
      <w:r w:rsidR="00104E48">
        <w:t xml:space="preserve"> Knowledge, I became aware that while there was Troublesome K</w:t>
      </w:r>
      <w:r>
        <w:t>nowledge assoc</w:t>
      </w:r>
      <w:r w:rsidR="00DD1750">
        <w:t>iated with all three dimensions. Engaging with the literature is fraught wi</w:t>
      </w:r>
      <w:r w:rsidR="00104E48">
        <w:t>th troublesome knowledge,</w:t>
      </w:r>
      <w:r w:rsidR="00DD1750">
        <w:t xml:space="preserve"> summed up in this extract from an interview:</w:t>
      </w:r>
    </w:p>
    <w:p w:rsidR="00DD1750" w:rsidRPr="00DD1750" w:rsidRDefault="00DD1750" w:rsidP="00F75A6E">
      <w:r>
        <w:rPr>
          <w:rFonts w:ascii="Calibri" w:eastAsia="Times New Roman" w:hAnsi="Calibri" w:cs="Times New Roman"/>
          <w:color w:val="000000"/>
          <w:lang w:eastAsia="en-GB"/>
        </w:rPr>
        <w:t>“</w:t>
      </w:r>
      <w:r w:rsidRPr="005B4350">
        <w:rPr>
          <w:rFonts w:ascii="Calibri" w:eastAsia="Times New Roman" w:hAnsi="Calibri" w:cs="Times New Roman"/>
          <w:i/>
          <w:color w:val="000000"/>
          <w:lang w:eastAsia="en-GB"/>
        </w:rPr>
        <w:t>With terr</w:t>
      </w:r>
      <w:r>
        <w:rPr>
          <w:rFonts w:ascii="Calibri" w:eastAsia="Times New Roman" w:hAnsi="Calibri" w:cs="Times New Roman"/>
          <w:i/>
          <w:color w:val="000000"/>
          <w:lang w:eastAsia="en-GB"/>
        </w:rPr>
        <w:t>or, I think, is the answer. T</w:t>
      </w:r>
      <w:r w:rsidRPr="005B4350">
        <w:rPr>
          <w:rFonts w:ascii="Calibri" w:eastAsia="Times New Roman" w:hAnsi="Calibri" w:cs="Times New Roman"/>
          <w:i/>
          <w:color w:val="000000"/>
          <w:lang w:eastAsia="en-GB"/>
        </w:rPr>
        <w:t>hings like Bioscience Education, fantastic, and I will sort of drop into that occasionally and have a look and pick up some good ideas. The more sort of heavy duty pedagogic literature, I find pretty heavy going mys</w:t>
      </w:r>
      <w:r>
        <w:rPr>
          <w:rFonts w:ascii="Calibri" w:eastAsia="Times New Roman" w:hAnsi="Calibri" w:cs="Times New Roman"/>
          <w:i/>
          <w:color w:val="000000"/>
          <w:lang w:eastAsia="en-GB"/>
        </w:rPr>
        <w:t>elf…</w:t>
      </w:r>
      <w:r w:rsidRPr="005B4350">
        <w:rPr>
          <w:rFonts w:ascii="Calibri" w:eastAsia="Times New Roman" w:hAnsi="Calibri" w:cs="Times New Roman"/>
          <w:i/>
          <w:color w:val="000000"/>
          <w:lang w:eastAsia="en-GB"/>
        </w:rPr>
        <w:t xml:space="preserve"> and I think this was sort of reflected when we did the introduction to teaching and learning type course that everybody has to do, and to my mind there was a definite split between the sciences and the humanities,</w:t>
      </w:r>
      <w:r w:rsidR="00104E48">
        <w:rPr>
          <w:rFonts w:ascii="Calibri" w:eastAsia="Times New Roman" w:hAnsi="Calibri" w:cs="Times New Roman"/>
          <w:i/>
          <w:color w:val="000000"/>
          <w:lang w:eastAsia="en-GB"/>
        </w:rPr>
        <w:t xml:space="preserve"> you know, for the humanities, </w:t>
      </w:r>
      <w:proofErr w:type="spellStart"/>
      <w:r w:rsidR="00104E48">
        <w:rPr>
          <w:rFonts w:ascii="Calibri" w:eastAsia="Times New Roman" w:hAnsi="Calibri" w:cs="Times New Roman"/>
          <w:i/>
          <w:color w:val="000000"/>
          <w:lang w:eastAsia="en-GB"/>
        </w:rPr>
        <w:t>Ped</w:t>
      </w:r>
      <w:proofErr w:type="spellEnd"/>
      <w:r w:rsidR="00104E48">
        <w:rPr>
          <w:rFonts w:ascii="Calibri" w:eastAsia="Times New Roman" w:hAnsi="Calibri" w:cs="Times New Roman"/>
          <w:i/>
          <w:color w:val="000000"/>
          <w:lang w:eastAsia="en-GB"/>
        </w:rPr>
        <w:t>-R</w:t>
      </w:r>
      <w:r w:rsidRPr="005B4350">
        <w:rPr>
          <w:rFonts w:ascii="Calibri" w:eastAsia="Times New Roman" w:hAnsi="Calibri" w:cs="Times New Roman"/>
          <w:i/>
          <w:color w:val="000000"/>
          <w:lang w:eastAsia="en-GB"/>
        </w:rPr>
        <w:t xml:space="preserve"> s</w:t>
      </w:r>
      <w:r>
        <w:rPr>
          <w:rFonts w:ascii="Calibri" w:eastAsia="Times New Roman" w:hAnsi="Calibri" w:cs="Times New Roman"/>
          <w:i/>
          <w:color w:val="000000"/>
          <w:lang w:eastAsia="en-GB"/>
        </w:rPr>
        <w:t>peak came very naturally,</w:t>
      </w:r>
      <w:r w:rsidRPr="005B4350">
        <w:rPr>
          <w:rFonts w:ascii="Calibri" w:eastAsia="Times New Roman" w:hAnsi="Calibri" w:cs="Times New Roman"/>
          <w:i/>
          <w:color w:val="000000"/>
          <w:lang w:eastAsia="en-GB"/>
        </w:rPr>
        <w:t xml:space="preserve"> because I suppose it’s qualitative rather than quantitative research and a lot of the terminology was familiar to them</w:t>
      </w:r>
      <w:r>
        <w:rPr>
          <w:rFonts w:ascii="Calibri" w:eastAsia="Times New Roman" w:hAnsi="Calibri" w:cs="Times New Roman"/>
          <w:i/>
          <w:color w:val="000000"/>
          <w:lang w:eastAsia="en-GB"/>
        </w:rPr>
        <w:t>.</w:t>
      </w:r>
      <w:r>
        <w:rPr>
          <w:rFonts w:ascii="Calibri" w:eastAsia="Times New Roman" w:hAnsi="Calibri" w:cs="Times New Roman"/>
          <w:color w:val="000000"/>
          <w:lang w:eastAsia="en-GB"/>
        </w:rPr>
        <w:t>”</w:t>
      </w:r>
    </w:p>
    <w:p w:rsidR="00401979" w:rsidRDefault="00F75A6E" w:rsidP="00C22B2F">
      <w:pPr>
        <w:spacing w:line="360" w:lineRule="auto"/>
      </w:pPr>
      <w:r>
        <w:t>Interviewees identified language as causing difficulties when writing journal papers. Implicit in</w:t>
      </w:r>
      <w:r w:rsidR="00104E48">
        <w:t xml:space="preserve"> that is a discursive dimension of difficulty </w:t>
      </w:r>
      <w:r w:rsidR="00104E48">
        <w:fldChar w:fldCharType="begin"/>
      </w:r>
      <w:r w:rsidR="00104E48">
        <w:instrText xml:space="preserve"> ADDIN ZOTERO_ITEM CSL_CITATION {"citationID":"m3s8moi6m","properties":{"formattedCitation":"(Meyer &amp; Land, 2005)","plainCitation":"(Meyer &amp; Land, 2005)"},"citationItems":[{"id":133,"uris":["http://zotero.org/users/386570/items/FI6RKWSB"],"uri":["http://zotero.org/users/386570/items/FI6RKWSB"],"itemData":{"id":133,"type":"article-journal","title":"Threshold concepts and troublesome knowledge (2): Epistemological considerations and a conceptual framework for teaching and learning","container-title":"Higher Education","page":"373-388","volume":"49","author":[{"family":"Meyer","given":"Jan H. F."},{"family":"Land","given":"Ray"}],"issued":{"date-parts":[["2005"]]}}}],"schema":"https://github.com/citation-style-language/schema/raw/master/csl-citation.json"} </w:instrText>
      </w:r>
      <w:r w:rsidR="00104E48">
        <w:fldChar w:fldCharType="separate"/>
      </w:r>
      <w:r w:rsidR="00104E48" w:rsidRPr="00104E48">
        <w:rPr>
          <w:rFonts w:ascii="Calibri" w:hAnsi="Calibri"/>
        </w:rPr>
        <w:t>(Meyer &amp; Land, 2005)</w:t>
      </w:r>
      <w:r w:rsidR="00104E48">
        <w:fldChar w:fldCharType="end"/>
      </w:r>
      <w:r>
        <w:t xml:space="preserve">, although interviewees did not express that explicitly.  </w:t>
      </w:r>
    </w:p>
    <w:p w:rsidR="00F75A6E" w:rsidRDefault="00F75A6E" w:rsidP="00F75A6E">
      <w:r>
        <w:rPr>
          <w:rFonts w:ascii="Calibri" w:eastAsia="Times New Roman" w:hAnsi="Calibri" w:cs="Times New Roman"/>
          <w:color w:val="000000"/>
          <w:lang w:eastAsia="en-GB"/>
        </w:rPr>
        <w:t>“</w:t>
      </w:r>
      <w:r w:rsidRPr="00B422CB">
        <w:rPr>
          <w:rFonts w:ascii="Calibri" w:eastAsia="Times New Roman" w:hAnsi="Calibri" w:cs="Times New Roman"/>
          <w:i/>
          <w:color w:val="000000"/>
          <w:lang w:eastAsia="en-GB"/>
        </w:rPr>
        <w:t>But I think I’m quite active in the scholarship, if that is scholarship, trying to get some publications, which is think is the hardest for, I don’t know if it’s fair to say for us, but it is for me. I think it’s a completely d</w:t>
      </w:r>
      <w:r>
        <w:rPr>
          <w:rFonts w:ascii="Calibri" w:eastAsia="Times New Roman" w:hAnsi="Calibri" w:cs="Times New Roman"/>
          <w:i/>
          <w:color w:val="000000"/>
          <w:lang w:eastAsia="en-GB"/>
        </w:rPr>
        <w:t>ifferent language we need</w:t>
      </w:r>
      <w:r w:rsidRPr="00B422CB">
        <w:rPr>
          <w:rFonts w:ascii="Calibri" w:eastAsia="Times New Roman" w:hAnsi="Calibri" w:cs="Times New Roman"/>
          <w:i/>
          <w:color w:val="000000"/>
          <w:lang w:eastAsia="en-GB"/>
        </w:rPr>
        <w:t xml:space="preserve"> to get engaged with, isn’t it</w:t>
      </w:r>
      <w:r>
        <w:rPr>
          <w:rFonts w:ascii="Calibri" w:eastAsia="Times New Roman" w:hAnsi="Calibri" w:cs="Times New Roman"/>
          <w:i/>
          <w:color w:val="000000"/>
          <w:lang w:eastAsia="en-GB"/>
        </w:rPr>
        <w:t>?”</w:t>
      </w:r>
    </w:p>
    <w:p w:rsidR="00F75A6E" w:rsidRDefault="00F75A6E" w:rsidP="00F75A6E">
      <w:pPr>
        <w:spacing w:line="360" w:lineRule="auto"/>
      </w:pPr>
      <w:r>
        <w:lastRenderedPageBreak/>
        <w:t>Conception of teacher- or student-</w:t>
      </w:r>
      <w:proofErr w:type="spellStart"/>
      <w:r>
        <w:t>centredness</w:t>
      </w:r>
      <w:proofErr w:type="spellEnd"/>
      <w:r>
        <w:t xml:space="preserve"> was expressed by many of the interviewees. They often discussed the importance of their development as a teacher, rather than their f</w:t>
      </w:r>
      <w:r w:rsidR="00104E48">
        <w:t>acilitation of student learning as an example of the ontological shift discussed in the context of Threshold Concepts.</w:t>
      </w:r>
    </w:p>
    <w:p w:rsidR="00F75A6E" w:rsidRDefault="00F75A6E" w:rsidP="00F75A6E">
      <w:pPr>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Pr="00CE0D26">
        <w:rPr>
          <w:rFonts w:ascii="Calibri" w:eastAsia="Times New Roman" w:hAnsi="Calibri" w:cs="Times New Roman"/>
          <w:i/>
          <w:color w:val="000000"/>
          <w:lang w:eastAsia="en-GB"/>
        </w:rPr>
        <w:t>I th</w:t>
      </w:r>
      <w:r w:rsidR="00104E48">
        <w:rPr>
          <w:rFonts w:ascii="Calibri" w:eastAsia="Times New Roman" w:hAnsi="Calibri" w:cs="Times New Roman"/>
          <w:i/>
          <w:color w:val="000000"/>
          <w:lang w:eastAsia="en-GB"/>
        </w:rPr>
        <w:t xml:space="preserve">ink since I started with the </w:t>
      </w:r>
      <w:proofErr w:type="spellStart"/>
      <w:r w:rsidR="00104E48">
        <w:rPr>
          <w:rFonts w:ascii="Calibri" w:eastAsia="Times New Roman" w:hAnsi="Calibri" w:cs="Times New Roman"/>
          <w:i/>
          <w:color w:val="000000"/>
          <w:lang w:eastAsia="en-GB"/>
        </w:rPr>
        <w:t>PGCert</w:t>
      </w:r>
      <w:proofErr w:type="spellEnd"/>
      <w:r w:rsidR="00104E48">
        <w:rPr>
          <w:rFonts w:ascii="Calibri" w:eastAsia="Times New Roman" w:hAnsi="Calibri" w:cs="Times New Roman"/>
          <w:i/>
          <w:color w:val="000000"/>
          <w:lang w:eastAsia="en-GB"/>
        </w:rPr>
        <w:t xml:space="preserve"> and I did the </w:t>
      </w:r>
      <w:proofErr w:type="spellStart"/>
      <w:r w:rsidR="00104E48">
        <w:rPr>
          <w:rFonts w:ascii="Calibri" w:eastAsia="Times New Roman" w:hAnsi="Calibri" w:cs="Times New Roman"/>
          <w:i/>
          <w:color w:val="000000"/>
          <w:lang w:eastAsia="en-GB"/>
        </w:rPr>
        <w:t>PGD</w:t>
      </w:r>
      <w:r w:rsidRPr="00CE0D26">
        <w:rPr>
          <w:rFonts w:ascii="Calibri" w:eastAsia="Times New Roman" w:hAnsi="Calibri" w:cs="Times New Roman"/>
          <w:i/>
          <w:color w:val="000000"/>
          <w:lang w:eastAsia="en-GB"/>
        </w:rPr>
        <w:t>ip</w:t>
      </w:r>
      <w:proofErr w:type="spellEnd"/>
      <w:r w:rsidRPr="00CE0D26">
        <w:rPr>
          <w:rFonts w:ascii="Calibri" w:eastAsia="Times New Roman" w:hAnsi="Calibri" w:cs="Times New Roman"/>
          <w:i/>
          <w:color w:val="000000"/>
          <w:lang w:eastAsia="en-GB"/>
        </w:rPr>
        <w:t xml:space="preserve"> and now I’m doing the Masters, I think I changed as a person regarding the teaching. I believe, and you would need to ask my students, but I believe I’m a better teacher</w:t>
      </w:r>
      <w:r w:rsidRPr="00CE0D26">
        <w:rPr>
          <w:rFonts w:ascii="Calibri" w:eastAsia="Times New Roman" w:hAnsi="Calibri" w:cs="Times New Roman"/>
          <w:color w:val="000000"/>
          <w:lang w:eastAsia="en-GB"/>
        </w:rPr>
        <w:t>.</w:t>
      </w:r>
      <w:r>
        <w:rPr>
          <w:rFonts w:ascii="Calibri" w:eastAsia="Times New Roman" w:hAnsi="Calibri" w:cs="Times New Roman"/>
          <w:color w:val="000000"/>
          <w:lang w:eastAsia="en-GB"/>
        </w:rPr>
        <w:t>”</w:t>
      </w:r>
    </w:p>
    <w:p w:rsidR="00B730B6" w:rsidRDefault="00B730B6" w:rsidP="00B730B6">
      <w:pPr>
        <w:spacing w:line="360" w:lineRule="auto"/>
      </w:pPr>
      <w:r>
        <w:t xml:space="preserve">However, most of the areas that were troublesome were not easily categorised according to </w:t>
      </w:r>
      <w:proofErr w:type="spellStart"/>
      <w:r>
        <w:t>Trigwell</w:t>
      </w:r>
      <w:proofErr w:type="spellEnd"/>
      <w:r>
        <w:t xml:space="preserve"> et </w:t>
      </w:r>
      <w:proofErr w:type="spellStart"/>
      <w:r>
        <w:t>al’s</w:t>
      </w:r>
      <w:proofErr w:type="spellEnd"/>
      <w:r>
        <w:t xml:space="preserve"> (2000) framework. These troublesome areas are </w:t>
      </w:r>
      <w:r w:rsidR="00614460">
        <w:t>not situated</w:t>
      </w:r>
      <w:r w:rsidR="009F0A8C">
        <w:t xml:space="preserve"> easily</w:t>
      </w:r>
      <w:r w:rsidR="00614460">
        <w:t xml:space="preserve"> in either the Informed, Communication or Conception dimensions of </w:t>
      </w:r>
      <w:proofErr w:type="spellStart"/>
      <w:r w:rsidR="00614460">
        <w:t>Trigwell</w:t>
      </w:r>
      <w:proofErr w:type="spellEnd"/>
      <w:r w:rsidR="00614460">
        <w:t xml:space="preserve"> et </w:t>
      </w:r>
      <w:proofErr w:type="spellStart"/>
      <w:r w:rsidR="00614460">
        <w:t>al’s</w:t>
      </w:r>
      <w:proofErr w:type="spellEnd"/>
      <w:r w:rsidR="00614460">
        <w:t xml:space="preserve"> (2000) model, </w:t>
      </w:r>
      <w:r w:rsidR="009F0A8C">
        <w:t>although they are related to an individual’s ability to engage with all three dimensions. As a tentative definition, I would categorise them as “Analytical</w:t>
      </w:r>
      <w:r w:rsidR="0084433D">
        <w:t>” and “</w:t>
      </w:r>
      <w:r w:rsidR="009F0A8C">
        <w:t>Paradigm dimension”</w:t>
      </w:r>
      <w:r w:rsidR="003A475F">
        <w:t xml:space="preserve">. </w:t>
      </w:r>
    </w:p>
    <w:p w:rsidR="00E857DB" w:rsidRDefault="00E857DB" w:rsidP="00B730B6">
      <w:pPr>
        <w:spacing w:line="360" w:lineRule="auto"/>
      </w:pPr>
      <w:r>
        <w:t xml:space="preserve">The Analytical dimension </w:t>
      </w:r>
      <w:r w:rsidR="00AA3C50">
        <w:t xml:space="preserve">deals with practicalities, such as how to handle or approach data and understanding research methods. For life science academics coming from a positivistic tradition, this is a huge issue. The research process for life scientists may be designing an experiment, observing, collecting data, which is numerical, analysing that data, usually by using software or computer modelling, and using statistical analysis. </w:t>
      </w:r>
      <w:r w:rsidR="006D3E92">
        <w:t>While the process of designing an experiment may be similar, the processes of how to gather and analyse data in an appropriate way is a hurdle to overcome</w:t>
      </w:r>
      <w:r w:rsidR="00AA3C50">
        <w:t xml:space="preserve">. Understanding that what one person says is important because of </w:t>
      </w:r>
      <w:r w:rsidR="00104E48">
        <w:t xml:space="preserve">the import of </w:t>
      </w:r>
      <w:r w:rsidR="00AA3C50" w:rsidRPr="00104E48">
        <w:rPr>
          <w:i/>
        </w:rPr>
        <w:t>what</w:t>
      </w:r>
      <w:r w:rsidR="00AA3C50">
        <w:t xml:space="preserve"> they say is incomprehensible. Scientists would ask questions like, “how many people are saying that?” or say, “well, if only one person has this opinion, it can’t be very important”: </w:t>
      </w:r>
    </w:p>
    <w:p w:rsidR="00AA3C50" w:rsidRDefault="00AA3C50" w:rsidP="00AA3C50">
      <w:r>
        <w:t>“</w:t>
      </w:r>
      <w:proofErr w:type="gramStart"/>
      <w:r w:rsidRPr="00221A51">
        <w:rPr>
          <w:rFonts w:ascii="Calibri" w:eastAsia="Times New Roman" w:hAnsi="Calibri" w:cs="Times New Roman"/>
          <w:i/>
          <w:color w:val="000000"/>
          <w:lang w:eastAsia="en-GB"/>
        </w:rPr>
        <w:t>because</w:t>
      </w:r>
      <w:proofErr w:type="gramEnd"/>
      <w:r w:rsidRPr="00221A51">
        <w:rPr>
          <w:rFonts w:ascii="Calibri" w:eastAsia="Times New Roman" w:hAnsi="Calibri" w:cs="Times New Roman"/>
          <w:i/>
          <w:color w:val="000000"/>
          <w:lang w:eastAsia="en-GB"/>
        </w:rPr>
        <w:t xml:space="preserve"> we’re in a science background, we tend to look for quantitative type measures, and we never think of the qualitative</w:t>
      </w:r>
      <w:r>
        <w:t>”</w:t>
      </w:r>
    </w:p>
    <w:p w:rsidR="006D3E92" w:rsidRDefault="00AA3C50" w:rsidP="006D3E92">
      <w:pPr>
        <w:spacing w:before="240" w:line="360" w:lineRule="auto"/>
      </w:pPr>
      <w:r>
        <w:t xml:space="preserve">In addition to data handling, research methods are also a troublesome area for life scientists, whose research methods </w:t>
      </w:r>
      <w:r w:rsidR="006D3E92">
        <w:t>are done</w:t>
      </w:r>
      <w:r w:rsidR="00104E48">
        <w:t xml:space="preserve"> using equipment. To think of a range of ontological</w:t>
      </w:r>
      <w:r w:rsidR="006D3E92">
        <w:t xml:space="preserve"> approach to research is an alien concept because there is </w:t>
      </w:r>
      <w:r w:rsidR="00104E48">
        <w:t xml:space="preserve">generally perceived to be </w:t>
      </w:r>
      <w:r w:rsidR="006D3E92">
        <w:t xml:space="preserve">only one tradition, and that is positivist. </w:t>
      </w:r>
    </w:p>
    <w:p w:rsidR="00AA3C50" w:rsidRDefault="006D3E92" w:rsidP="006D3E92">
      <w:pPr>
        <w:spacing w:before="240" w:line="360" w:lineRule="auto"/>
      </w:pPr>
      <w:r>
        <w:t>This moves us on to the other, related category, which I have called “Paradigm dimension”. This relates to understanding the nature of SoTL itself, understanding pedagogy as a theoretical concept, and understanding that there are dif</w:t>
      </w:r>
      <w:r w:rsidR="00E35330">
        <w:t xml:space="preserve">ferent approaches, or paradigms, a concept which is alien to </w:t>
      </w:r>
      <w:r w:rsidR="00F61C64">
        <w:t xml:space="preserve">most </w:t>
      </w:r>
      <w:r w:rsidR="00E35330">
        <w:t>scientists</w:t>
      </w:r>
      <w:r w:rsidR="006919AB">
        <w:t>:</w:t>
      </w:r>
    </w:p>
    <w:p w:rsidR="00F61C64" w:rsidRDefault="006919AB" w:rsidP="006919AB">
      <w:pPr>
        <w:spacing w:before="240"/>
        <w:rPr>
          <w:rFonts w:ascii="Calibri" w:eastAsia="Times New Roman" w:hAnsi="Calibri" w:cs="Times New Roman"/>
          <w:color w:val="000000"/>
          <w:lang w:eastAsia="en-GB"/>
        </w:rPr>
      </w:pPr>
      <w:r w:rsidRPr="00700A70">
        <w:rPr>
          <w:rFonts w:ascii="Calibri" w:eastAsia="Times New Roman" w:hAnsi="Calibri" w:cs="Times New Roman"/>
          <w:color w:val="000000"/>
          <w:lang w:eastAsia="en-GB"/>
        </w:rPr>
        <w:lastRenderedPageBreak/>
        <w:t>“</w:t>
      </w:r>
      <w:proofErr w:type="gramStart"/>
      <w:r w:rsidRPr="00412599">
        <w:rPr>
          <w:rFonts w:ascii="Calibri" w:eastAsia="Times New Roman" w:hAnsi="Calibri" w:cs="Times New Roman"/>
          <w:i/>
          <w:color w:val="000000"/>
          <w:lang w:eastAsia="en-GB"/>
        </w:rPr>
        <w:t>what’s</w:t>
      </w:r>
      <w:proofErr w:type="gramEnd"/>
      <w:r w:rsidRPr="00412599">
        <w:rPr>
          <w:rFonts w:ascii="Calibri" w:eastAsia="Times New Roman" w:hAnsi="Calibri" w:cs="Times New Roman"/>
          <w:i/>
          <w:color w:val="000000"/>
          <w:lang w:eastAsia="en-GB"/>
        </w:rPr>
        <w:t xml:space="preserve"> the factual evidence here, it’s just people’s opinions about other people’s opinions. I want to know facts, so I did biology and then eventually realised that that was all just people’s opinions as well</w:t>
      </w:r>
      <w:r w:rsidR="008D21FD">
        <w:rPr>
          <w:rFonts w:ascii="Calibri" w:eastAsia="Times New Roman" w:hAnsi="Calibri" w:cs="Times New Roman"/>
          <w:i/>
          <w:color w:val="000000"/>
          <w:lang w:eastAsia="en-GB"/>
        </w:rPr>
        <w:t>.</w:t>
      </w:r>
      <w:r w:rsidRPr="006919AB">
        <w:rPr>
          <w:rFonts w:ascii="Calibri" w:eastAsia="Times New Roman" w:hAnsi="Calibri" w:cs="Times New Roman"/>
          <w:color w:val="000000"/>
          <w:lang w:eastAsia="en-GB"/>
        </w:rPr>
        <w:t>”</w:t>
      </w:r>
    </w:p>
    <w:p w:rsidR="00700A70" w:rsidRPr="00F61C64" w:rsidRDefault="00F61C64" w:rsidP="006919AB">
      <w:pPr>
        <w:spacing w:before="240"/>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r>
      <w:r>
        <w:rPr>
          <w:rFonts w:ascii="Calibri" w:eastAsia="Times New Roman" w:hAnsi="Calibri" w:cs="Times New Roman"/>
          <w:color w:val="000000"/>
          <w:lang w:eastAsia="en-GB"/>
        </w:rPr>
        <w:instrText xml:space="preserve"> REF _Ref399857897 \h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t xml:space="preserve">Table </w:t>
      </w:r>
      <w:r>
        <w:rPr>
          <w:noProof/>
        </w:rPr>
        <w:t>7</w:t>
      </w:r>
      <w:r>
        <w:rPr>
          <w:rFonts w:ascii="Calibri" w:eastAsia="Times New Roman" w:hAnsi="Calibri" w:cs="Times New Roman"/>
          <w:color w:val="000000"/>
          <w:lang w:eastAsia="en-GB"/>
        </w:rPr>
        <w:fldChar w:fldCharType="end"/>
      </w:r>
      <w:r>
        <w:rPr>
          <w:rFonts w:ascii="Calibri" w:eastAsia="Times New Roman" w:hAnsi="Calibri" w:cs="Times New Roman"/>
          <w:color w:val="000000"/>
          <w:lang w:eastAsia="en-GB"/>
        </w:rPr>
        <w:t xml:space="preserve"> </w:t>
      </w:r>
      <w:r w:rsidR="00700A70">
        <w:rPr>
          <w:rFonts w:ascii="Calibri" w:eastAsia="Times New Roman" w:hAnsi="Calibri" w:cs="Times New Roman"/>
          <w:color w:val="000000"/>
          <w:lang w:eastAsia="en-GB"/>
        </w:rPr>
        <w:t>summarises the places where Threshold Concepts occur, including the Analytical/Paradigm dimensions.</w:t>
      </w:r>
    </w:p>
    <w:p w:rsidR="00E35330" w:rsidRPr="00404C32" w:rsidRDefault="00224559" w:rsidP="00224559">
      <w:pPr>
        <w:pStyle w:val="Caption"/>
      </w:pPr>
      <w:bookmarkStart w:id="6" w:name="_Ref399857897"/>
      <w:r>
        <w:t xml:space="preserve">Table </w:t>
      </w:r>
      <w:fldSimple w:instr=" SEQ Table \* ARABIC ">
        <w:r w:rsidR="00D17F4A">
          <w:rPr>
            <w:noProof/>
          </w:rPr>
          <w:t>7</w:t>
        </w:r>
      </w:fldSimple>
      <w:bookmarkEnd w:id="6"/>
      <w:r>
        <w:t xml:space="preserve"> </w:t>
      </w:r>
      <w:r w:rsidRPr="003A6074">
        <w:t xml:space="preserve">Proposed dimensions of scholarship of teaching (adapted from </w:t>
      </w:r>
      <w:proofErr w:type="spellStart"/>
      <w:r w:rsidRPr="003A6074">
        <w:t>Trigwell</w:t>
      </w:r>
      <w:proofErr w:type="spellEnd"/>
      <w:r w:rsidRPr="003A6074">
        <w:t xml:space="preserve"> et al., 2000, p. 163)</w:t>
      </w:r>
    </w:p>
    <w:tbl>
      <w:tblPr>
        <w:tblStyle w:val="TableGrid"/>
        <w:tblW w:w="0" w:type="auto"/>
        <w:tblLook w:val="04A0" w:firstRow="1" w:lastRow="0" w:firstColumn="1" w:lastColumn="0" w:noHBand="0" w:noVBand="1"/>
      </w:tblPr>
      <w:tblGrid>
        <w:gridCol w:w="689"/>
        <w:gridCol w:w="1687"/>
        <w:gridCol w:w="2082"/>
        <w:gridCol w:w="2410"/>
        <w:gridCol w:w="2029"/>
      </w:tblGrid>
      <w:tr w:rsidR="00E35330" w:rsidTr="00224559">
        <w:tc>
          <w:tcPr>
            <w:tcW w:w="689" w:type="dxa"/>
          </w:tcPr>
          <w:p w:rsidR="00E35330" w:rsidRPr="00BE3768" w:rsidRDefault="00E35330"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Level</w:t>
            </w:r>
          </w:p>
        </w:tc>
        <w:tc>
          <w:tcPr>
            <w:tcW w:w="1687" w:type="dxa"/>
          </w:tcPr>
          <w:p w:rsidR="00E35330" w:rsidRPr="00BE3768" w:rsidRDefault="00E35330"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Informed (ID)</w:t>
            </w:r>
          </w:p>
        </w:tc>
        <w:tc>
          <w:tcPr>
            <w:tcW w:w="1701" w:type="dxa"/>
          </w:tcPr>
          <w:p w:rsidR="00E35330" w:rsidRPr="00BE3768" w:rsidRDefault="00E35330" w:rsidP="00224559">
            <w:pPr>
              <w:pStyle w:val="Heading2"/>
              <w:spacing w:before="2" w:after="2" w:line="360" w:lineRule="auto"/>
              <w:outlineLvl w:val="1"/>
              <w:rPr>
                <w:rFonts w:asciiTheme="minorHAnsi" w:hAnsiTheme="minorHAnsi"/>
                <w:sz w:val="22"/>
                <w:szCs w:val="22"/>
                <w:lang w:val="en-GB"/>
              </w:rPr>
            </w:pPr>
            <w:r>
              <w:rPr>
                <w:rFonts w:asciiTheme="minorHAnsi" w:hAnsiTheme="minorHAnsi"/>
                <w:sz w:val="22"/>
                <w:szCs w:val="22"/>
                <w:lang w:val="en-GB"/>
              </w:rPr>
              <w:t>Analytical/Paradigm</w:t>
            </w:r>
          </w:p>
        </w:tc>
        <w:tc>
          <w:tcPr>
            <w:tcW w:w="2410" w:type="dxa"/>
          </w:tcPr>
          <w:p w:rsidR="00E35330" w:rsidRPr="00BE3768" w:rsidRDefault="00E35330"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Communication (</w:t>
            </w:r>
            <w:proofErr w:type="spellStart"/>
            <w:r w:rsidRPr="00BE3768">
              <w:rPr>
                <w:rFonts w:asciiTheme="minorHAnsi" w:hAnsiTheme="minorHAnsi"/>
                <w:sz w:val="22"/>
                <w:szCs w:val="22"/>
                <w:lang w:val="en-GB"/>
              </w:rPr>
              <w:t>ComD</w:t>
            </w:r>
            <w:proofErr w:type="spellEnd"/>
            <w:r w:rsidRPr="00BE3768">
              <w:rPr>
                <w:rFonts w:asciiTheme="minorHAnsi" w:hAnsiTheme="minorHAnsi"/>
                <w:sz w:val="22"/>
                <w:szCs w:val="22"/>
                <w:lang w:val="en-GB"/>
              </w:rPr>
              <w:t>)</w:t>
            </w:r>
          </w:p>
        </w:tc>
        <w:tc>
          <w:tcPr>
            <w:tcW w:w="2029" w:type="dxa"/>
          </w:tcPr>
          <w:p w:rsidR="00E35330" w:rsidRPr="00BE3768" w:rsidRDefault="00E35330" w:rsidP="00224559">
            <w:pPr>
              <w:pStyle w:val="Heading2"/>
              <w:spacing w:before="2" w:after="2" w:line="360" w:lineRule="auto"/>
              <w:outlineLvl w:val="1"/>
              <w:rPr>
                <w:rFonts w:asciiTheme="minorHAnsi" w:hAnsiTheme="minorHAnsi"/>
                <w:sz w:val="22"/>
                <w:szCs w:val="22"/>
                <w:lang w:val="en-GB"/>
              </w:rPr>
            </w:pPr>
            <w:r w:rsidRPr="00BE3768">
              <w:rPr>
                <w:rFonts w:asciiTheme="minorHAnsi" w:hAnsiTheme="minorHAnsi"/>
                <w:sz w:val="22"/>
                <w:szCs w:val="22"/>
                <w:lang w:val="en-GB"/>
              </w:rPr>
              <w:t>Conception (</w:t>
            </w:r>
            <w:proofErr w:type="spellStart"/>
            <w:r w:rsidRPr="00BE3768">
              <w:rPr>
                <w:rFonts w:asciiTheme="minorHAnsi" w:hAnsiTheme="minorHAnsi"/>
                <w:sz w:val="22"/>
                <w:szCs w:val="22"/>
                <w:lang w:val="en-GB"/>
              </w:rPr>
              <w:t>ConD</w:t>
            </w:r>
            <w:proofErr w:type="spellEnd"/>
            <w:r w:rsidRPr="00BE3768">
              <w:rPr>
                <w:rFonts w:asciiTheme="minorHAnsi" w:hAnsiTheme="minorHAnsi"/>
                <w:sz w:val="22"/>
                <w:szCs w:val="22"/>
                <w:lang w:val="en-GB"/>
              </w:rPr>
              <w:t>)</w:t>
            </w:r>
          </w:p>
        </w:tc>
      </w:tr>
      <w:tr w:rsidR="00E35330" w:rsidTr="00224559">
        <w:tc>
          <w:tcPr>
            <w:tcW w:w="689" w:type="dxa"/>
          </w:tcPr>
          <w:p w:rsidR="00E35330" w:rsidRPr="00BE3768" w:rsidRDefault="00E35330"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1</w:t>
            </w:r>
          </w:p>
        </w:tc>
        <w:tc>
          <w:tcPr>
            <w:tcW w:w="1687" w:type="dxa"/>
          </w:tcPr>
          <w:p w:rsidR="00E35330" w:rsidRPr="00BE3768" w:rsidRDefault="00E35330"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Uses informal theories of teaching and learning</w:t>
            </w:r>
          </w:p>
        </w:tc>
        <w:tc>
          <w:tcPr>
            <w:tcW w:w="1701" w:type="dxa"/>
          </w:tcPr>
          <w:p w:rsidR="00E35330" w:rsidRPr="00BE3768" w:rsidRDefault="00E35330"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Effectively none</w:t>
            </w:r>
          </w:p>
        </w:tc>
        <w:tc>
          <w:tcPr>
            <w:tcW w:w="2410" w:type="dxa"/>
          </w:tcPr>
          <w:p w:rsidR="00E35330" w:rsidRPr="00BE3768" w:rsidRDefault="00E35330" w:rsidP="00224559">
            <w:pPr>
              <w:rPr>
                <w:sz w:val="22"/>
                <w:szCs w:val="22"/>
                <w:lang w:val="en-GB"/>
              </w:rPr>
            </w:pPr>
            <w:r w:rsidRPr="00BE3768">
              <w:rPr>
                <w:sz w:val="22"/>
                <w:szCs w:val="22"/>
                <w:lang w:val="en-GB"/>
              </w:rPr>
              <w:t>none</w:t>
            </w:r>
          </w:p>
          <w:p w:rsidR="00E35330" w:rsidRPr="00BE3768" w:rsidRDefault="00E35330" w:rsidP="00224559">
            <w:pPr>
              <w:pStyle w:val="Heading2"/>
              <w:spacing w:before="2" w:after="2"/>
              <w:outlineLvl w:val="1"/>
              <w:rPr>
                <w:rFonts w:asciiTheme="minorHAnsi" w:hAnsiTheme="minorHAnsi"/>
                <w:b w:val="0"/>
                <w:sz w:val="22"/>
                <w:szCs w:val="22"/>
                <w:lang w:val="en-GB"/>
              </w:rPr>
            </w:pPr>
          </w:p>
        </w:tc>
        <w:tc>
          <w:tcPr>
            <w:tcW w:w="2029" w:type="dxa"/>
          </w:tcPr>
          <w:p w:rsidR="00E35330" w:rsidRPr="00BE3768" w:rsidRDefault="00E35330" w:rsidP="00224559">
            <w:pPr>
              <w:rPr>
                <w:sz w:val="22"/>
                <w:szCs w:val="22"/>
                <w:lang w:val="en-GB"/>
              </w:rPr>
            </w:pPr>
            <w:r w:rsidRPr="00BE3768">
              <w:rPr>
                <w:sz w:val="22"/>
                <w:szCs w:val="22"/>
                <w:lang w:val="en-GB"/>
              </w:rPr>
              <w:t>Sees teaching in a teacher-focused way</w:t>
            </w:r>
          </w:p>
          <w:p w:rsidR="00E35330" w:rsidRPr="00BE3768" w:rsidRDefault="00E35330" w:rsidP="00224559">
            <w:pPr>
              <w:pStyle w:val="Heading2"/>
              <w:spacing w:before="2" w:after="2"/>
              <w:outlineLvl w:val="1"/>
              <w:rPr>
                <w:rFonts w:asciiTheme="minorHAnsi" w:hAnsiTheme="minorHAnsi"/>
                <w:b w:val="0"/>
                <w:sz w:val="22"/>
                <w:szCs w:val="22"/>
                <w:lang w:val="en-GB"/>
              </w:rPr>
            </w:pPr>
          </w:p>
        </w:tc>
      </w:tr>
      <w:tr w:rsidR="00E35330" w:rsidTr="00224559">
        <w:tc>
          <w:tcPr>
            <w:tcW w:w="689" w:type="dxa"/>
          </w:tcPr>
          <w:p w:rsidR="00E35330" w:rsidRPr="00BE3768" w:rsidRDefault="00E35330"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2</w:t>
            </w:r>
          </w:p>
        </w:tc>
        <w:tc>
          <w:tcPr>
            <w:tcW w:w="1687" w:type="dxa"/>
          </w:tcPr>
          <w:p w:rsidR="00E35330" w:rsidRPr="00BE3768" w:rsidRDefault="00E35330"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Engages with the literature of teaching and learning generally</w:t>
            </w:r>
          </w:p>
        </w:tc>
        <w:tc>
          <w:tcPr>
            <w:tcW w:w="1701" w:type="dxa"/>
          </w:tcPr>
          <w:p w:rsidR="00E35330" w:rsidRPr="00F17E19" w:rsidRDefault="00E35330" w:rsidP="00224559">
            <w:pPr>
              <w:pStyle w:val="Heading2"/>
              <w:spacing w:before="2" w:after="2"/>
              <w:outlineLvl w:val="1"/>
              <w:rPr>
                <w:rFonts w:asciiTheme="minorHAnsi" w:hAnsiTheme="minorHAnsi"/>
                <w:sz w:val="22"/>
                <w:szCs w:val="22"/>
                <w:lang w:val="en-GB"/>
              </w:rPr>
            </w:pPr>
            <w:r w:rsidRPr="00F17E19">
              <w:rPr>
                <w:rFonts w:asciiTheme="minorHAnsi" w:hAnsiTheme="minorHAnsi"/>
                <w:sz w:val="22"/>
                <w:szCs w:val="22"/>
                <w:lang w:val="en-GB"/>
              </w:rPr>
              <w:t>Relies on disciplinary experimental methods and data collection</w:t>
            </w:r>
          </w:p>
        </w:tc>
        <w:tc>
          <w:tcPr>
            <w:tcW w:w="2410" w:type="dxa"/>
          </w:tcPr>
          <w:p w:rsidR="00E35330" w:rsidRPr="00BE3768" w:rsidRDefault="00E35330" w:rsidP="00224559">
            <w:pPr>
              <w:rPr>
                <w:sz w:val="22"/>
                <w:szCs w:val="22"/>
                <w:lang w:val="en-GB"/>
              </w:rPr>
            </w:pPr>
            <w:r w:rsidRPr="00BE3768">
              <w:rPr>
                <w:sz w:val="22"/>
                <w:szCs w:val="22"/>
                <w:lang w:val="en-GB"/>
              </w:rPr>
              <w:t>Communicates with departmental/faculty peers (tearoom conversations; departmental seminars)</w:t>
            </w:r>
          </w:p>
        </w:tc>
        <w:tc>
          <w:tcPr>
            <w:tcW w:w="2029" w:type="dxa"/>
          </w:tcPr>
          <w:p w:rsidR="00E35330" w:rsidRPr="00BE3768" w:rsidRDefault="00E35330" w:rsidP="00224559">
            <w:pPr>
              <w:pStyle w:val="Heading2"/>
              <w:spacing w:before="2" w:after="2"/>
              <w:outlineLvl w:val="1"/>
              <w:rPr>
                <w:rFonts w:asciiTheme="minorHAnsi" w:hAnsiTheme="minorHAnsi"/>
                <w:b w:val="0"/>
                <w:sz w:val="22"/>
                <w:szCs w:val="22"/>
                <w:lang w:val="en-GB"/>
              </w:rPr>
            </w:pPr>
          </w:p>
        </w:tc>
      </w:tr>
      <w:tr w:rsidR="00E35330" w:rsidTr="00224559">
        <w:tc>
          <w:tcPr>
            <w:tcW w:w="689" w:type="dxa"/>
          </w:tcPr>
          <w:p w:rsidR="00E35330" w:rsidRPr="00BE3768" w:rsidRDefault="00E35330"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3</w:t>
            </w:r>
          </w:p>
        </w:tc>
        <w:tc>
          <w:tcPr>
            <w:tcW w:w="1687" w:type="dxa"/>
          </w:tcPr>
          <w:p w:rsidR="00E35330" w:rsidRPr="00BE3768" w:rsidRDefault="00E35330" w:rsidP="00224559">
            <w:pPr>
              <w:pStyle w:val="Heading2"/>
              <w:spacing w:before="2" w:after="2"/>
              <w:outlineLvl w:val="1"/>
              <w:rPr>
                <w:rFonts w:asciiTheme="minorHAnsi" w:hAnsiTheme="minorHAnsi"/>
                <w:b w:val="0"/>
                <w:sz w:val="22"/>
                <w:szCs w:val="22"/>
                <w:lang w:val="en-GB"/>
              </w:rPr>
            </w:pPr>
            <w:r w:rsidRPr="00BE3768">
              <w:rPr>
                <w:rFonts w:asciiTheme="minorHAnsi" w:hAnsiTheme="minorHAnsi"/>
                <w:b w:val="0"/>
                <w:sz w:val="22"/>
                <w:szCs w:val="22"/>
                <w:lang w:val="en-GB"/>
              </w:rPr>
              <w:t>Engages with the literature; particularly the discipline literature</w:t>
            </w:r>
          </w:p>
        </w:tc>
        <w:tc>
          <w:tcPr>
            <w:tcW w:w="1701" w:type="dxa"/>
          </w:tcPr>
          <w:p w:rsidR="00E35330" w:rsidRPr="000E4F13" w:rsidRDefault="00E35330" w:rsidP="00224559">
            <w:pPr>
              <w:pStyle w:val="Heading2"/>
              <w:spacing w:before="2" w:after="2"/>
              <w:outlineLvl w:val="1"/>
              <w:rPr>
                <w:rFonts w:asciiTheme="minorHAnsi" w:hAnsiTheme="minorHAnsi"/>
                <w:sz w:val="22"/>
                <w:szCs w:val="22"/>
                <w:lang w:val="en-GB"/>
              </w:rPr>
            </w:pPr>
            <w:r w:rsidRPr="000E4F13">
              <w:rPr>
                <w:rFonts w:asciiTheme="minorHAnsi" w:hAnsiTheme="minorHAnsi"/>
                <w:sz w:val="22"/>
                <w:szCs w:val="22"/>
                <w:lang w:val="en-GB"/>
              </w:rPr>
              <w:t>Attempts to engage with new paradigm, but from a disciplinary perspective</w:t>
            </w:r>
          </w:p>
        </w:tc>
        <w:tc>
          <w:tcPr>
            <w:tcW w:w="2410" w:type="dxa"/>
          </w:tcPr>
          <w:p w:rsidR="00E35330" w:rsidRPr="00993869" w:rsidRDefault="00E35330" w:rsidP="00224559">
            <w:pPr>
              <w:rPr>
                <w:b/>
                <w:sz w:val="22"/>
                <w:szCs w:val="22"/>
                <w:lang w:val="en-GB"/>
              </w:rPr>
            </w:pPr>
            <w:r w:rsidRPr="00BE3768">
              <w:rPr>
                <w:sz w:val="22"/>
                <w:szCs w:val="22"/>
                <w:lang w:val="en-GB"/>
              </w:rPr>
              <w:t>Reports work at local and national conferences</w:t>
            </w:r>
            <w:r>
              <w:rPr>
                <w:sz w:val="22"/>
                <w:szCs w:val="22"/>
                <w:lang w:val="en-GB"/>
              </w:rPr>
              <w:t xml:space="preserve"> </w:t>
            </w:r>
            <w:r w:rsidR="00F61C64" w:rsidRPr="00F61C64">
              <w:rPr>
                <w:b/>
                <w:sz w:val="22"/>
                <w:szCs w:val="22"/>
                <w:lang w:val="en-GB"/>
              </w:rPr>
              <w:t xml:space="preserve">often </w:t>
            </w:r>
            <w:r>
              <w:rPr>
                <w:b/>
                <w:sz w:val="22"/>
                <w:szCs w:val="22"/>
                <w:lang w:val="en-GB"/>
              </w:rPr>
              <w:t>with no</w:t>
            </w:r>
            <w:r w:rsidR="00F61C64">
              <w:rPr>
                <w:b/>
                <w:sz w:val="22"/>
                <w:szCs w:val="22"/>
                <w:lang w:val="en-GB"/>
              </w:rPr>
              <w:t>/little</w:t>
            </w:r>
            <w:r>
              <w:rPr>
                <w:b/>
                <w:sz w:val="22"/>
                <w:szCs w:val="22"/>
                <w:lang w:val="en-GB"/>
              </w:rPr>
              <w:t xml:space="preserve"> requirement to integrate literature or theory</w:t>
            </w:r>
          </w:p>
          <w:p w:rsidR="00E35330" w:rsidRPr="00BE3768" w:rsidRDefault="00E35330" w:rsidP="00224559">
            <w:pPr>
              <w:pStyle w:val="Heading2"/>
              <w:spacing w:before="2" w:after="2"/>
              <w:outlineLvl w:val="1"/>
              <w:rPr>
                <w:rFonts w:asciiTheme="minorHAnsi" w:hAnsiTheme="minorHAnsi"/>
                <w:b w:val="0"/>
                <w:sz w:val="22"/>
                <w:szCs w:val="22"/>
                <w:lang w:val="en-GB"/>
              </w:rPr>
            </w:pPr>
          </w:p>
        </w:tc>
        <w:tc>
          <w:tcPr>
            <w:tcW w:w="2029" w:type="dxa"/>
          </w:tcPr>
          <w:p w:rsidR="00E35330" w:rsidRPr="00BE3768" w:rsidRDefault="00E35330" w:rsidP="00224559">
            <w:pPr>
              <w:pStyle w:val="Heading2"/>
              <w:spacing w:before="2" w:after="2"/>
              <w:outlineLvl w:val="1"/>
              <w:rPr>
                <w:rFonts w:asciiTheme="minorHAnsi" w:hAnsiTheme="minorHAnsi"/>
                <w:b w:val="0"/>
                <w:sz w:val="22"/>
                <w:szCs w:val="22"/>
                <w:lang w:val="en-GB"/>
              </w:rPr>
            </w:pPr>
          </w:p>
        </w:tc>
      </w:tr>
      <w:tr w:rsidR="00E35330" w:rsidTr="00224559">
        <w:tc>
          <w:tcPr>
            <w:tcW w:w="689" w:type="dxa"/>
          </w:tcPr>
          <w:p w:rsidR="00E35330" w:rsidRPr="00BE3768" w:rsidRDefault="00E35330" w:rsidP="00224559">
            <w:pPr>
              <w:pStyle w:val="Heading2"/>
              <w:spacing w:before="2" w:after="2"/>
              <w:outlineLvl w:val="1"/>
              <w:rPr>
                <w:rFonts w:asciiTheme="minorHAnsi" w:hAnsiTheme="minorHAnsi"/>
                <w:sz w:val="22"/>
                <w:szCs w:val="22"/>
                <w:lang w:val="en-GB"/>
              </w:rPr>
            </w:pPr>
            <w:r w:rsidRPr="00BE3768">
              <w:rPr>
                <w:rFonts w:asciiTheme="minorHAnsi" w:hAnsiTheme="minorHAnsi"/>
                <w:sz w:val="22"/>
                <w:szCs w:val="22"/>
                <w:lang w:val="en-GB"/>
              </w:rPr>
              <w:t>4</w:t>
            </w:r>
          </w:p>
        </w:tc>
        <w:tc>
          <w:tcPr>
            <w:tcW w:w="1687" w:type="dxa"/>
          </w:tcPr>
          <w:p w:rsidR="00E35330" w:rsidRPr="00096B09" w:rsidRDefault="00E35330" w:rsidP="00224559">
            <w:pPr>
              <w:pStyle w:val="Heading2"/>
              <w:spacing w:before="2" w:after="2"/>
              <w:outlineLvl w:val="1"/>
              <w:rPr>
                <w:rFonts w:asciiTheme="minorHAnsi" w:hAnsiTheme="minorHAnsi"/>
                <w:sz w:val="22"/>
                <w:szCs w:val="22"/>
                <w:lang w:val="en-GB"/>
              </w:rPr>
            </w:pPr>
            <w:r w:rsidRPr="00BE3768">
              <w:rPr>
                <w:rFonts w:asciiTheme="minorHAnsi" w:hAnsiTheme="minorHAnsi"/>
                <w:b w:val="0"/>
                <w:sz w:val="22"/>
                <w:szCs w:val="22"/>
                <w:lang w:val="en-GB"/>
              </w:rPr>
              <w:t xml:space="preserve">Conducts action research, </w:t>
            </w:r>
            <w:r>
              <w:rPr>
                <w:rFonts w:asciiTheme="minorHAnsi" w:hAnsiTheme="minorHAnsi"/>
                <w:sz w:val="22"/>
                <w:szCs w:val="22"/>
                <w:lang w:val="en-GB"/>
              </w:rPr>
              <w:t>but does not relate this to a synoptic approach to literature or theoretical concepts</w:t>
            </w:r>
          </w:p>
        </w:tc>
        <w:tc>
          <w:tcPr>
            <w:tcW w:w="1701" w:type="dxa"/>
          </w:tcPr>
          <w:p w:rsidR="00E35330" w:rsidRPr="00BE3768" w:rsidRDefault="00E35330" w:rsidP="00224559">
            <w:pPr>
              <w:rPr>
                <w:sz w:val="22"/>
                <w:szCs w:val="22"/>
                <w:lang w:val="en-GB"/>
              </w:rPr>
            </w:pPr>
          </w:p>
        </w:tc>
        <w:tc>
          <w:tcPr>
            <w:tcW w:w="2410" w:type="dxa"/>
          </w:tcPr>
          <w:p w:rsidR="00E35330" w:rsidRPr="00BE3768" w:rsidRDefault="00E35330" w:rsidP="00224559">
            <w:pPr>
              <w:rPr>
                <w:sz w:val="22"/>
                <w:szCs w:val="22"/>
                <w:lang w:val="en-GB"/>
              </w:rPr>
            </w:pPr>
            <w:r w:rsidRPr="00BE3768">
              <w:rPr>
                <w:sz w:val="22"/>
                <w:szCs w:val="22"/>
                <w:lang w:val="en-GB"/>
              </w:rPr>
              <w:t xml:space="preserve">Publishes in </w:t>
            </w:r>
            <w:r>
              <w:rPr>
                <w:b/>
                <w:sz w:val="22"/>
                <w:szCs w:val="22"/>
                <w:lang w:val="en-GB"/>
              </w:rPr>
              <w:t>disciplinary educational journals</w:t>
            </w:r>
          </w:p>
          <w:p w:rsidR="00E35330" w:rsidRPr="00BE3768" w:rsidRDefault="00E35330" w:rsidP="00224559">
            <w:pPr>
              <w:pStyle w:val="Heading2"/>
              <w:spacing w:before="2" w:after="2"/>
              <w:outlineLvl w:val="1"/>
              <w:rPr>
                <w:rFonts w:asciiTheme="minorHAnsi" w:hAnsiTheme="minorHAnsi"/>
                <w:b w:val="0"/>
                <w:sz w:val="22"/>
                <w:szCs w:val="22"/>
                <w:lang w:val="en-GB"/>
              </w:rPr>
            </w:pPr>
          </w:p>
        </w:tc>
        <w:tc>
          <w:tcPr>
            <w:tcW w:w="2029" w:type="dxa"/>
          </w:tcPr>
          <w:p w:rsidR="00E35330" w:rsidRPr="00F61C64" w:rsidRDefault="00E35330" w:rsidP="00224559">
            <w:pPr>
              <w:rPr>
                <w:sz w:val="22"/>
                <w:szCs w:val="22"/>
                <w:lang w:val="en-GB"/>
              </w:rPr>
            </w:pPr>
            <w:r w:rsidRPr="00F61C64">
              <w:rPr>
                <w:sz w:val="22"/>
                <w:szCs w:val="22"/>
                <w:lang w:val="en-GB"/>
              </w:rPr>
              <w:t>sees teaching in a student-focused way</w:t>
            </w:r>
          </w:p>
          <w:p w:rsidR="00E35330" w:rsidRPr="00BE3768" w:rsidRDefault="00E35330" w:rsidP="00224559">
            <w:pPr>
              <w:pStyle w:val="Heading2"/>
              <w:spacing w:before="2" w:after="2"/>
              <w:outlineLvl w:val="1"/>
              <w:rPr>
                <w:rFonts w:asciiTheme="minorHAnsi" w:hAnsiTheme="minorHAnsi"/>
                <w:b w:val="0"/>
                <w:sz w:val="22"/>
                <w:szCs w:val="22"/>
                <w:lang w:val="en-GB"/>
              </w:rPr>
            </w:pPr>
          </w:p>
        </w:tc>
      </w:tr>
    </w:tbl>
    <w:p w:rsidR="00E35330" w:rsidRDefault="00E35330" w:rsidP="006D3E92">
      <w:pPr>
        <w:spacing w:before="240" w:line="360" w:lineRule="auto"/>
      </w:pPr>
    </w:p>
    <w:p w:rsidR="00C7048B" w:rsidRPr="00C7048B" w:rsidRDefault="00C7048B" w:rsidP="00AB051C">
      <w:pPr>
        <w:rPr>
          <w:b/>
          <w:sz w:val="24"/>
          <w:szCs w:val="24"/>
        </w:rPr>
      </w:pPr>
      <w:r w:rsidRPr="00C7048B">
        <w:rPr>
          <w:b/>
          <w:sz w:val="24"/>
          <w:szCs w:val="24"/>
        </w:rPr>
        <w:t>Discussion</w:t>
      </w:r>
    </w:p>
    <w:p w:rsidR="00C341B2" w:rsidRDefault="00EE2DE8" w:rsidP="006D3E92">
      <w:pPr>
        <w:spacing w:before="240" w:line="360" w:lineRule="auto"/>
      </w:pPr>
      <w:r>
        <w:t xml:space="preserve">There appears to be an argument for the existence of Threshold Concepts for Life Science academics engaging in SoTL. Using </w:t>
      </w:r>
      <w:proofErr w:type="spellStart"/>
      <w:r>
        <w:t>Trigwell</w:t>
      </w:r>
      <w:proofErr w:type="spellEnd"/>
      <w:r>
        <w:t xml:space="preserve"> et </w:t>
      </w:r>
      <w:proofErr w:type="spellStart"/>
      <w:r>
        <w:t>al’s</w:t>
      </w:r>
      <w:proofErr w:type="spellEnd"/>
      <w:r>
        <w:t xml:space="preserve"> (2000) model, all three dimensions show evidence of places where there are barriers, however it is only by looking at them in the context of Troublesome Knowledge that we can elucidate why there are barriers.</w:t>
      </w:r>
      <w:r w:rsidR="0056191B">
        <w:t xml:space="preserve"> </w:t>
      </w:r>
      <w:r w:rsidR="0056191B">
        <w:fldChar w:fldCharType="begin"/>
      </w:r>
      <w:r w:rsidR="0056191B">
        <w:instrText xml:space="preserve"> REF _Ref399857897 \h </w:instrText>
      </w:r>
      <w:r w:rsidR="0056191B">
        <w:fldChar w:fldCharType="separate"/>
      </w:r>
      <w:r w:rsidR="0056191B">
        <w:t xml:space="preserve">Table </w:t>
      </w:r>
      <w:r w:rsidR="0056191B">
        <w:rPr>
          <w:noProof/>
        </w:rPr>
        <w:t>7</w:t>
      </w:r>
      <w:r w:rsidR="0056191B">
        <w:fldChar w:fldCharType="end"/>
      </w:r>
      <w:r w:rsidR="0056191B">
        <w:t xml:space="preserve"> </w:t>
      </w:r>
      <w:r w:rsidR="00096B09">
        <w:t>summarises where the Threshold Concepts are, and includes the position of the tentative additional dimensions of scholarship</w:t>
      </w:r>
      <w:r w:rsidR="0056191B">
        <w:t>, Analytical and Paradigm</w:t>
      </w:r>
      <w:r w:rsidR="00096B09">
        <w:t>.</w:t>
      </w:r>
      <w:r w:rsidR="0056191B">
        <w:t xml:space="preserve"> Identification of these Threshold Concepts, including the ontological and discursive issues have also been identified by Webb’s </w:t>
      </w:r>
      <w:r w:rsidR="0056191B">
        <w:fldChar w:fldCharType="begin"/>
      </w:r>
      <w:r w:rsidR="0056191B">
        <w:instrText xml:space="preserve"> ADDIN ZOTERO_ITEM CSL_CITATION {"citationID":"674vqkvs6","properties":{"formattedCitation":"(2014)","plainCitation":"(2014)"},"citationItems":[{"id":464,"uris":["http://zotero.org/users/386570/items/9D5NZAR9"],"uri":["http://zotero.org/users/386570/items/9D5NZAR9"],"itemData":{"id":464,"type":"paper-conference","title":"Threshold Concepts and the Scholarship of Teaching and Learning","publisher-place":"Durham University","event":"Threshold Concepts in Practice","event-place":"Durham University","author":[{"family":"Webb","given":"Andrea"}],"issued":{"date-parts":[["2014"]]}},"suppress-author":true}],"schema":"https://github.com/citation-style-language/schema/raw/master/csl-citation.json"} </w:instrText>
      </w:r>
      <w:r w:rsidR="0056191B">
        <w:fldChar w:fldCharType="separate"/>
      </w:r>
      <w:r w:rsidR="0056191B" w:rsidRPr="0056191B">
        <w:rPr>
          <w:rFonts w:ascii="Calibri" w:hAnsi="Calibri"/>
        </w:rPr>
        <w:t>(2014)</w:t>
      </w:r>
      <w:r w:rsidR="0056191B">
        <w:fldChar w:fldCharType="end"/>
      </w:r>
      <w:r w:rsidR="0056191B">
        <w:t xml:space="preserve"> study of mid-career academics.</w:t>
      </w:r>
    </w:p>
    <w:p w:rsidR="00700A70" w:rsidRPr="00B42082" w:rsidRDefault="00F17E19" w:rsidP="006D3E92">
      <w:pPr>
        <w:spacing w:before="240" w:line="360" w:lineRule="auto"/>
      </w:pPr>
      <w:r>
        <w:lastRenderedPageBreak/>
        <w:t>There is a relationship between the</w:t>
      </w:r>
      <w:r w:rsidR="00B42082">
        <w:t xml:space="preserve"> Threshold Concepts in all </w:t>
      </w:r>
      <w:r>
        <w:t>categories</w:t>
      </w:r>
      <w:r w:rsidR="00B42082">
        <w:t xml:space="preserve"> of the model</w:t>
      </w:r>
      <w:r>
        <w:t>. Life science academics are professionals in their own fields. However, they are being asked to conduct research in a completely different area, with a literature that is impenetrable. They are being asked to conduct this research after a certificate level, part time course. Compare this to the length of time it takes to progress to</w:t>
      </w:r>
      <w:r w:rsidR="00C03E56">
        <w:t xml:space="preserve"> a first academic position, which is at least ten years of full time study and work, and includes two, perhaps three degrees, and it is easy to understand </w:t>
      </w:r>
      <w:r w:rsidR="00C341B2">
        <w:t>why life scientists fall back on disciplinary protocols when tr</w:t>
      </w:r>
      <w:r w:rsidR="00AB051C">
        <w:t>ying to do pedagogical research.</w:t>
      </w:r>
      <w:r w:rsidR="004A241F">
        <w:t xml:space="preserve"> Until now, assumptions have been made that if an individual is an expert in their </w:t>
      </w:r>
      <w:proofErr w:type="gramStart"/>
      <w:r w:rsidR="004A241F">
        <w:t>discipline, that</w:t>
      </w:r>
      <w:proofErr w:type="gramEnd"/>
      <w:r w:rsidR="004A241F">
        <w:t xml:space="preserve"> this easily transfers to research within another paradigm.</w:t>
      </w:r>
      <w:r w:rsidR="00AB051C">
        <w:t xml:space="preserve"> In terms of supporting colleagues through this process, I believe that one of the important issues is that of linking engagement with literature </w:t>
      </w:r>
      <w:r w:rsidR="006C4BD8">
        <w:t xml:space="preserve">to communication, specifically, insisting on the inclusion and discussion of literature for conference presentations and seminars. </w:t>
      </w:r>
      <w:r w:rsidR="00B42082">
        <w:t xml:space="preserve">Interestingly, referring back to the Semantic Differential results, there is an acknowledgement of the </w:t>
      </w:r>
      <w:r w:rsidR="00B42082">
        <w:rPr>
          <w:i/>
        </w:rPr>
        <w:t>potency</w:t>
      </w:r>
      <w:r w:rsidR="00B42082">
        <w:t xml:space="preserve"> of both SoTL and Pedagogy for academic staff not engaged in disciplinary research. Academics may well see the power of SoTL and Pedagogy in transforming their roles, even before they fully understand it.</w:t>
      </w:r>
    </w:p>
    <w:p w:rsidR="00FD73D3" w:rsidRPr="00FD73D3" w:rsidRDefault="00FD73D3" w:rsidP="006D3E92">
      <w:pPr>
        <w:spacing w:before="240" w:line="360" w:lineRule="auto"/>
        <w:rPr>
          <w:sz w:val="24"/>
          <w:szCs w:val="24"/>
        </w:rPr>
      </w:pPr>
      <w:r w:rsidRPr="00FD73D3">
        <w:rPr>
          <w:b/>
          <w:sz w:val="24"/>
          <w:szCs w:val="24"/>
        </w:rPr>
        <w:t>Further work</w:t>
      </w:r>
    </w:p>
    <w:p w:rsidR="006409AB" w:rsidRDefault="00FD73D3" w:rsidP="006D3E92">
      <w:pPr>
        <w:spacing w:before="240" w:line="360" w:lineRule="auto"/>
      </w:pPr>
      <w:r>
        <w:t>This paper presents the possible threshold concepts involved with Life Scientist academics’ engagement with SoTL. There are many possibilities for further work. Although I have tentatively identified Analysis and Paradigm as new dimensions, further analysis is required to clearly define what constitutes these dimensions and how they interact wit</w:t>
      </w:r>
      <w:r w:rsidR="008F2F86">
        <w:t xml:space="preserve">h </w:t>
      </w:r>
      <w:proofErr w:type="spellStart"/>
      <w:r w:rsidR="008F2F86">
        <w:t>Trigwell</w:t>
      </w:r>
      <w:proofErr w:type="spellEnd"/>
      <w:r w:rsidR="008F2F86">
        <w:t xml:space="preserve"> et </w:t>
      </w:r>
      <w:proofErr w:type="spellStart"/>
      <w:r w:rsidR="008F2F86">
        <w:t>al’s</w:t>
      </w:r>
      <w:proofErr w:type="spellEnd"/>
      <w:r w:rsidR="008F2F86">
        <w:t xml:space="preserve"> (2000) D</w:t>
      </w:r>
      <w:r>
        <w:t>imensions</w:t>
      </w:r>
      <w:r w:rsidR="008F2F86">
        <w:t xml:space="preserve"> of Scholarship</w:t>
      </w:r>
      <w:r>
        <w:t xml:space="preserve">. </w:t>
      </w:r>
      <w:r w:rsidR="006409AB">
        <w:t>In addition, more work is required to elucidate why the barriers occur where they do, with a view to better supporting academics in their scholarly activities.</w:t>
      </w:r>
    </w:p>
    <w:p w:rsidR="00FD73D3" w:rsidRPr="00FD73D3" w:rsidRDefault="00FD73D3" w:rsidP="006D3E92">
      <w:pPr>
        <w:spacing w:before="240" w:line="360" w:lineRule="auto"/>
      </w:pPr>
      <w:r>
        <w:t xml:space="preserve">Beyond the scope of this study is </w:t>
      </w:r>
      <w:r w:rsidR="008F2F86">
        <w:t xml:space="preserve">the question of </w:t>
      </w:r>
      <w:r>
        <w:t>how academics in other areas engage with SoTL, and where the thresholds exist for them.</w:t>
      </w:r>
      <w:r w:rsidR="008F2F86">
        <w:t xml:space="preserve"> For example, in the other STEM areas, it would be reasonable to speculate that the Threshold Concepts are similar to those found with Life Science academics.</w:t>
      </w:r>
      <w:r w:rsidR="0056191B">
        <w:t xml:space="preserve"> This speculation is backed up by the work of Webb </w:t>
      </w:r>
      <w:r w:rsidR="0056191B">
        <w:fldChar w:fldCharType="begin"/>
      </w:r>
      <w:r w:rsidR="0056191B">
        <w:instrText xml:space="preserve"> ADDIN ZOTERO_ITEM CSL_CITATION {"citationID":"e29r0s7pb","properties":{"formattedCitation":"(2014)","plainCitation":"(2014)"},"citationItems":[{"id":464,"uris":["http://zotero.org/users/386570/items/9D5NZAR9"],"uri":["http://zotero.org/users/386570/items/9D5NZAR9"],"itemData":{"id":464,"type":"paper-conference","title":"Threshold Concepts and the Scholarship of Teaching and Learning","publisher-place":"Durham University","event":"Threshold Concepts in Practice","event-place":"Durham University","author":[{"family":"Webb","given":"Andrea"}],"issued":{"date-parts":[["2014"]]}},"suppress-author":true}],"schema":"https://github.com/citation-style-language/schema/raw/master/csl-citation.json"} </w:instrText>
      </w:r>
      <w:r w:rsidR="0056191B">
        <w:fldChar w:fldCharType="separate"/>
      </w:r>
      <w:r w:rsidR="0056191B" w:rsidRPr="0056191B">
        <w:rPr>
          <w:rFonts w:ascii="Calibri" w:hAnsi="Calibri"/>
        </w:rPr>
        <w:t>(2014)</w:t>
      </w:r>
      <w:r w:rsidR="0056191B">
        <w:fldChar w:fldCharType="end"/>
      </w:r>
      <w:r w:rsidR="0056191B">
        <w:t xml:space="preserve"> who has identified similar Threshold Concepts in mid-career academics from across the</w:t>
      </w:r>
      <w:bookmarkStart w:id="7" w:name="_GoBack"/>
      <w:bookmarkEnd w:id="7"/>
      <w:r w:rsidR="0056191B">
        <w:t xml:space="preserve"> disciplines.</w:t>
      </w:r>
      <w:r>
        <w:t xml:space="preserve"> It is important to find out where the barriers lie, as increasingly, academics are being asked, in effect, to become educational researchers. If this is to continue, robust, longitudinal support has to be put in place.</w:t>
      </w:r>
    </w:p>
    <w:p w:rsidR="009B4DBF" w:rsidRDefault="009B4DBF">
      <w:pPr>
        <w:rPr>
          <w:b/>
          <w:sz w:val="24"/>
          <w:szCs w:val="24"/>
        </w:rPr>
      </w:pPr>
      <w:r>
        <w:rPr>
          <w:b/>
          <w:sz w:val="24"/>
          <w:szCs w:val="24"/>
        </w:rPr>
        <w:br w:type="page"/>
      </w:r>
    </w:p>
    <w:p w:rsidR="00901B12" w:rsidRPr="00401979" w:rsidRDefault="00901B12" w:rsidP="00432503">
      <w:pPr>
        <w:spacing w:line="480" w:lineRule="auto"/>
        <w:rPr>
          <w:b/>
          <w:sz w:val="24"/>
          <w:szCs w:val="24"/>
        </w:rPr>
      </w:pPr>
      <w:r w:rsidRPr="00401979">
        <w:rPr>
          <w:b/>
          <w:sz w:val="24"/>
          <w:szCs w:val="24"/>
        </w:rPr>
        <w:lastRenderedPageBreak/>
        <w:t>References</w:t>
      </w:r>
    </w:p>
    <w:p w:rsidR="0056191B" w:rsidRPr="0056191B" w:rsidRDefault="00901B12" w:rsidP="0056191B">
      <w:pPr>
        <w:pStyle w:val="Bibliography"/>
        <w:rPr>
          <w:rFonts w:ascii="Calibri" w:hAnsi="Calibri"/>
        </w:rPr>
      </w:pPr>
      <w:r>
        <w:fldChar w:fldCharType="begin"/>
      </w:r>
      <w:r w:rsidR="0009226D">
        <w:instrText xml:space="preserve"> ADDIN ZOTERO_BIBL {"custom":[]} CSL_BIBLIOGRAPHY </w:instrText>
      </w:r>
      <w:r>
        <w:fldChar w:fldCharType="separate"/>
      </w:r>
      <w:r w:rsidR="0056191B" w:rsidRPr="0056191B">
        <w:rPr>
          <w:rFonts w:ascii="Calibri" w:hAnsi="Calibri"/>
        </w:rPr>
        <w:t xml:space="preserve">Allen, M. N., &amp; Field, P. A. (2005). Scholarly Teaching and Scholarship of Teaching: Noting the Difference. </w:t>
      </w:r>
      <w:r w:rsidR="0056191B" w:rsidRPr="0056191B">
        <w:rPr>
          <w:rFonts w:ascii="Calibri" w:hAnsi="Calibri"/>
          <w:i/>
          <w:iCs/>
        </w:rPr>
        <w:t>International Journal of Nursing Education Scholarship</w:t>
      </w:r>
      <w:r w:rsidR="0056191B" w:rsidRPr="0056191B">
        <w:rPr>
          <w:rFonts w:ascii="Calibri" w:hAnsi="Calibri"/>
        </w:rPr>
        <w:t xml:space="preserve">, </w:t>
      </w:r>
      <w:r w:rsidR="0056191B" w:rsidRPr="0056191B">
        <w:rPr>
          <w:rFonts w:ascii="Calibri" w:hAnsi="Calibri"/>
          <w:i/>
          <w:iCs/>
        </w:rPr>
        <w:t>2</w:t>
      </w:r>
      <w:r w:rsidR="0056191B" w:rsidRPr="0056191B">
        <w:rPr>
          <w:rFonts w:ascii="Calibri" w:hAnsi="Calibri"/>
        </w:rPr>
        <w:t>(1). Retrieved from http://www.degruyter.com/view/j/ijnes.2005.2.1/ijnes.2005.2.1.1094/ijnes.2005.2.1.1094.xml</w:t>
      </w:r>
    </w:p>
    <w:p w:rsidR="0056191B" w:rsidRPr="0056191B" w:rsidRDefault="0056191B" w:rsidP="0056191B">
      <w:pPr>
        <w:pStyle w:val="Bibliography"/>
        <w:rPr>
          <w:rFonts w:ascii="Calibri" w:hAnsi="Calibri"/>
        </w:rPr>
      </w:pPr>
      <w:proofErr w:type="spellStart"/>
      <w:r w:rsidRPr="0056191B">
        <w:rPr>
          <w:rFonts w:ascii="Calibri" w:hAnsi="Calibri"/>
        </w:rPr>
        <w:t>Antman</w:t>
      </w:r>
      <w:proofErr w:type="spellEnd"/>
      <w:r w:rsidRPr="0056191B">
        <w:rPr>
          <w:rFonts w:ascii="Calibri" w:hAnsi="Calibri"/>
        </w:rPr>
        <w:t xml:space="preserve">, L., &amp; Olsson, T. (2007). A Two-Dimensional Matrix Model for Analysing </w:t>
      </w:r>
      <w:proofErr w:type="gramStart"/>
      <w:r w:rsidRPr="0056191B">
        <w:rPr>
          <w:rFonts w:ascii="Calibri" w:hAnsi="Calibri"/>
        </w:rPr>
        <w:t>Scholarly  Approaches</w:t>
      </w:r>
      <w:proofErr w:type="gramEnd"/>
      <w:r w:rsidRPr="0056191B">
        <w:rPr>
          <w:rFonts w:ascii="Calibri" w:hAnsi="Calibri"/>
        </w:rPr>
        <w:t xml:space="preserve"> to Teaching and Learning. In </w:t>
      </w:r>
      <w:r w:rsidRPr="0056191B">
        <w:rPr>
          <w:rFonts w:ascii="Calibri" w:hAnsi="Calibri"/>
          <w:i/>
          <w:iCs/>
        </w:rPr>
        <w:t>Improving Student Learning through Teaching</w:t>
      </w:r>
      <w:r w:rsidRPr="0056191B">
        <w:rPr>
          <w:rFonts w:ascii="Calibri" w:hAnsi="Calibri"/>
        </w:rPr>
        <w:t>. Oxford: The Oxford Centre for Staff and Learning Development.</w:t>
      </w:r>
    </w:p>
    <w:p w:rsidR="0056191B" w:rsidRPr="0056191B" w:rsidRDefault="0056191B" w:rsidP="0056191B">
      <w:pPr>
        <w:pStyle w:val="Bibliography"/>
        <w:rPr>
          <w:rFonts w:ascii="Calibri" w:hAnsi="Calibri"/>
        </w:rPr>
      </w:pPr>
      <w:proofErr w:type="spellStart"/>
      <w:r w:rsidRPr="0056191B">
        <w:rPr>
          <w:rFonts w:ascii="Calibri" w:hAnsi="Calibri"/>
        </w:rPr>
        <w:t>Boshier</w:t>
      </w:r>
      <w:proofErr w:type="spellEnd"/>
      <w:r w:rsidRPr="0056191B">
        <w:rPr>
          <w:rFonts w:ascii="Calibri" w:hAnsi="Calibri"/>
        </w:rPr>
        <w:t xml:space="preserve">, R. (2009). Why is the Scholarship of Teaching and Learning such a hard sell? </w:t>
      </w:r>
      <w:r w:rsidRPr="0056191B">
        <w:rPr>
          <w:rFonts w:ascii="Calibri" w:hAnsi="Calibri"/>
          <w:i/>
          <w:iCs/>
        </w:rPr>
        <w:t>Higher Education Research &amp; Development</w:t>
      </w:r>
      <w:r w:rsidRPr="0056191B">
        <w:rPr>
          <w:rFonts w:ascii="Calibri" w:hAnsi="Calibri"/>
        </w:rPr>
        <w:t xml:space="preserve">, </w:t>
      </w:r>
      <w:r w:rsidRPr="0056191B">
        <w:rPr>
          <w:rFonts w:ascii="Calibri" w:hAnsi="Calibri"/>
          <w:i/>
          <w:iCs/>
        </w:rPr>
        <w:t>28</w:t>
      </w:r>
      <w:r w:rsidRPr="0056191B">
        <w:rPr>
          <w:rFonts w:ascii="Calibri" w:hAnsi="Calibri"/>
        </w:rPr>
        <w:t>(1), 1–15.</w:t>
      </w:r>
    </w:p>
    <w:p w:rsidR="0056191B" w:rsidRPr="0056191B" w:rsidRDefault="0056191B" w:rsidP="0056191B">
      <w:pPr>
        <w:pStyle w:val="Bibliography"/>
        <w:rPr>
          <w:rFonts w:ascii="Calibri" w:hAnsi="Calibri"/>
        </w:rPr>
      </w:pPr>
      <w:r w:rsidRPr="0056191B">
        <w:rPr>
          <w:rFonts w:ascii="Calibri" w:hAnsi="Calibri"/>
        </w:rPr>
        <w:t xml:space="preserve">Boyer, E. (1990). </w:t>
      </w:r>
      <w:r w:rsidRPr="0056191B">
        <w:rPr>
          <w:rFonts w:ascii="Calibri" w:hAnsi="Calibri"/>
          <w:i/>
          <w:iCs/>
        </w:rPr>
        <w:t>Scholarship reconsidered: Priorities of the professoriate.</w:t>
      </w:r>
      <w:r w:rsidRPr="0056191B">
        <w:rPr>
          <w:rFonts w:ascii="Calibri" w:hAnsi="Calibri"/>
        </w:rPr>
        <w:t xml:space="preserve"> San Francisco: </w:t>
      </w:r>
      <w:proofErr w:type="spellStart"/>
      <w:r w:rsidRPr="0056191B">
        <w:rPr>
          <w:rFonts w:ascii="Calibri" w:hAnsi="Calibri"/>
        </w:rPr>
        <w:t>Jossey</w:t>
      </w:r>
      <w:proofErr w:type="spellEnd"/>
      <w:r w:rsidRPr="0056191B">
        <w:rPr>
          <w:rFonts w:ascii="Calibri" w:hAnsi="Calibri"/>
        </w:rPr>
        <w:t>-Bass.</w:t>
      </w:r>
    </w:p>
    <w:p w:rsidR="0056191B" w:rsidRPr="0056191B" w:rsidRDefault="0056191B" w:rsidP="0056191B">
      <w:pPr>
        <w:pStyle w:val="Bibliography"/>
        <w:rPr>
          <w:rFonts w:ascii="Calibri" w:hAnsi="Calibri"/>
        </w:rPr>
      </w:pPr>
      <w:proofErr w:type="spellStart"/>
      <w:r w:rsidRPr="0056191B">
        <w:rPr>
          <w:rFonts w:ascii="Calibri" w:hAnsi="Calibri"/>
        </w:rPr>
        <w:t>Bunnell</w:t>
      </w:r>
      <w:proofErr w:type="spellEnd"/>
      <w:r w:rsidRPr="0056191B">
        <w:rPr>
          <w:rFonts w:ascii="Calibri" w:hAnsi="Calibri"/>
        </w:rPr>
        <w:t xml:space="preserve">, S. L., &amp; Bernstein, D. J. (2012). Overcoming Some Threshold Concepts in Scholarly Teaching. </w:t>
      </w:r>
      <w:r w:rsidRPr="0056191B">
        <w:rPr>
          <w:rFonts w:ascii="Calibri" w:hAnsi="Calibri"/>
          <w:i/>
          <w:iCs/>
        </w:rPr>
        <w:t>The Journal of Faculty Development</w:t>
      </w:r>
      <w:r w:rsidRPr="0056191B">
        <w:rPr>
          <w:rFonts w:ascii="Calibri" w:hAnsi="Calibri"/>
        </w:rPr>
        <w:t xml:space="preserve">, </w:t>
      </w:r>
      <w:r w:rsidRPr="0056191B">
        <w:rPr>
          <w:rFonts w:ascii="Calibri" w:hAnsi="Calibri"/>
          <w:i/>
          <w:iCs/>
        </w:rPr>
        <w:t>26</w:t>
      </w:r>
      <w:r w:rsidRPr="0056191B">
        <w:rPr>
          <w:rFonts w:ascii="Calibri" w:hAnsi="Calibri"/>
        </w:rPr>
        <w:t>(3), 14–18.</w:t>
      </w:r>
    </w:p>
    <w:p w:rsidR="0056191B" w:rsidRPr="0056191B" w:rsidRDefault="0056191B" w:rsidP="0056191B">
      <w:pPr>
        <w:pStyle w:val="Bibliography"/>
        <w:rPr>
          <w:rFonts w:ascii="Calibri" w:hAnsi="Calibri"/>
        </w:rPr>
      </w:pPr>
      <w:r w:rsidRPr="0056191B">
        <w:rPr>
          <w:rFonts w:ascii="Calibri" w:hAnsi="Calibri"/>
        </w:rPr>
        <w:t xml:space="preserve">Cohen, J. (1998). </w:t>
      </w:r>
      <w:r w:rsidRPr="0056191B">
        <w:rPr>
          <w:rFonts w:ascii="Calibri" w:hAnsi="Calibri"/>
          <w:i/>
          <w:iCs/>
        </w:rPr>
        <w:t>Statistical power analysis for the behavioural sciences</w:t>
      </w:r>
      <w:r w:rsidRPr="0056191B">
        <w:rPr>
          <w:rFonts w:ascii="Calibri" w:hAnsi="Calibri"/>
        </w:rPr>
        <w:t xml:space="preserve"> (2nd </w:t>
      </w:r>
      <w:proofErr w:type="gramStart"/>
      <w:r w:rsidRPr="0056191B">
        <w:rPr>
          <w:rFonts w:ascii="Calibri" w:hAnsi="Calibri"/>
        </w:rPr>
        <w:t>ed</w:t>
      </w:r>
      <w:proofErr w:type="gramEnd"/>
      <w:r w:rsidRPr="0056191B">
        <w:rPr>
          <w:rFonts w:ascii="Calibri" w:hAnsi="Calibri"/>
        </w:rPr>
        <w:t>.). New York: Erlbaum.</w:t>
      </w:r>
    </w:p>
    <w:p w:rsidR="0056191B" w:rsidRPr="0056191B" w:rsidRDefault="0056191B" w:rsidP="0056191B">
      <w:pPr>
        <w:pStyle w:val="Bibliography"/>
        <w:rPr>
          <w:rFonts w:ascii="Calibri" w:hAnsi="Calibri"/>
        </w:rPr>
      </w:pPr>
      <w:r w:rsidRPr="0056191B">
        <w:rPr>
          <w:rFonts w:ascii="Calibri" w:hAnsi="Calibri"/>
        </w:rPr>
        <w:t xml:space="preserve">Fan, X. (2001). Statistical Significance and Effect Size in Education Research: Two Sides of a Coin. </w:t>
      </w:r>
      <w:r w:rsidRPr="0056191B">
        <w:rPr>
          <w:rFonts w:ascii="Calibri" w:hAnsi="Calibri"/>
          <w:i/>
          <w:iCs/>
        </w:rPr>
        <w:t>The Journal of Educational Research</w:t>
      </w:r>
      <w:r w:rsidRPr="0056191B">
        <w:rPr>
          <w:rFonts w:ascii="Calibri" w:hAnsi="Calibri"/>
        </w:rPr>
        <w:t xml:space="preserve">, </w:t>
      </w:r>
      <w:r w:rsidRPr="0056191B">
        <w:rPr>
          <w:rFonts w:ascii="Calibri" w:hAnsi="Calibri"/>
          <w:i/>
          <w:iCs/>
        </w:rPr>
        <w:t>94</w:t>
      </w:r>
      <w:r w:rsidRPr="0056191B">
        <w:rPr>
          <w:rFonts w:ascii="Calibri" w:hAnsi="Calibri"/>
        </w:rPr>
        <w:t>(5), 275–282.</w:t>
      </w:r>
    </w:p>
    <w:p w:rsidR="0056191B" w:rsidRPr="0056191B" w:rsidRDefault="0056191B" w:rsidP="0056191B">
      <w:pPr>
        <w:pStyle w:val="Bibliography"/>
        <w:rPr>
          <w:rFonts w:ascii="Calibri" w:hAnsi="Calibri"/>
        </w:rPr>
      </w:pPr>
      <w:proofErr w:type="spellStart"/>
      <w:r w:rsidRPr="0056191B">
        <w:rPr>
          <w:rFonts w:ascii="Calibri" w:hAnsi="Calibri"/>
        </w:rPr>
        <w:t>Glassick</w:t>
      </w:r>
      <w:proofErr w:type="spellEnd"/>
      <w:r w:rsidRPr="0056191B">
        <w:rPr>
          <w:rFonts w:ascii="Calibri" w:hAnsi="Calibri"/>
        </w:rPr>
        <w:t xml:space="preserve">, C. E., Huber, M. T., &amp; </w:t>
      </w:r>
      <w:proofErr w:type="spellStart"/>
      <w:r w:rsidRPr="0056191B">
        <w:rPr>
          <w:rFonts w:ascii="Calibri" w:hAnsi="Calibri"/>
        </w:rPr>
        <w:t>Maeroff</w:t>
      </w:r>
      <w:proofErr w:type="spellEnd"/>
      <w:r w:rsidRPr="0056191B">
        <w:rPr>
          <w:rFonts w:ascii="Calibri" w:hAnsi="Calibri"/>
        </w:rPr>
        <w:t xml:space="preserve">, G. I. (1997). </w:t>
      </w:r>
      <w:r w:rsidRPr="0056191B">
        <w:rPr>
          <w:rFonts w:ascii="Calibri" w:hAnsi="Calibri"/>
          <w:i/>
          <w:iCs/>
        </w:rPr>
        <w:t>Scholarship assessed: Evaluation of the professoriate.</w:t>
      </w:r>
      <w:r w:rsidRPr="0056191B">
        <w:rPr>
          <w:rFonts w:ascii="Calibri" w:hAnsi="Calibri"/>
        </w:rPr>
        <w:t xml:space="preserve"> San Francisco: </w:t>
      </w:r>
      <w:proofErr w:type="spellStart"/>
      <w:r w:rsidRPr="0056191B">
        <w:rPr>
          <w:rFonts w:ascii="Calibri" w:hAnsi="Calibri"/>
        </w:rPr>
        <w:t>Jossey</w:t>
      </w:r>
      <w:proofErr w:type="spellEnd"/>
      <w:r w:rsidRPr="0056191B">
        <w:rPr>
          <w:rFonts w:ascii="Calibri" w:hAnsi="Calibri"/>
        </w:rPr>
        <w:t>-Bass.</w:t>
      </w:r>
    </w:p>
    <w:p w:rsidR="0056191B" w:rsidRPr="0056191B" w:rsidRDefault="0056191B" w:rsidP="0056191B">
      <w:pPr>
        <w:pStyle w:val="Bibliography"/>
        <w:rPr>
          <w:rFonts w:ascii="Calibri" w:hAnsi="Calibri"/>
        </w:rPr>
      </w:pPr>
      <w:r w:rsidRPr="0056191B">
        <w:rPr>
          <w:rFonts w:ascii="Calibri" w:hAnsi="Calibri"/>
        </w:rPr>
        <w:t xml:space="preserve">Hutchings, P., &amp; Shulman, L. E. (1999). The Scholarship of Teaching: New Elaborations, New Developments. </w:t>
      </w:r>
      <w:r w:rsidRPr="0056191B">
        <w:rPr>
          <w:rFonts w:ascii="Calibri" w:hAnsi="Calibri"/>
          <w:i/>
          <w:iCs/>
        </w:rPr>
        <w:t>Change</w:t>
      </w:r>
      <w:r w:rsidRPr="0056191B">
        <w:rPr>
          <w:rFonts w:ascii="Calibri" w:hAnsi="Calibri"/>
        </w:rPr>
        <w:t xml:space="preserve">, </w:t>
      </w:r>
      <w:r w:rsidRPr="0056191B">
        <w:rPr>
          <w:rFonts w:ascii="Calibri" w:hAnsi="Calibri"/>
          <w:i/>
          <w:iCs/>
        </w:rPr>
        <w:t>31</w:t>
      </w:r>
      <w:r w:rsidRPr="0056191B">
        <w:rPr>
          <w:rFonts w:ascii="Calibri" w:hAnsi="Calibri"/>
        </w:rPr>
        <w:t>(5), 10–15.</w:t>
      </w:r>
    </w:p>
    <w:p w:rsidR="0056191B" w:rsidRPr="0056191B" w:rsidRDefault="0056191B" w:rsidP="0056191B">
      <w:pPr>
        <w:pStyle w:val="Bibliography"/>
        <w:rPr>
          <w:rFonts w:ascii="Calibri" w:hAnsi="Calibri"/>
        </w:rPr>
      </w:pPr>
      <w:proofErr w:type="spellStart"/>
      <w:r w:rsidRPr="0056191B">
        <w:rPr>
          <w:rFonts w:ascii="Calibri" w:hAnsi="Calibri"/>
        </w:rPr>
        <w:t>Kreber</w:t>
      </w:r>
      <w:proofErr w:type="spellEnd"/>
      <w:r w:rsidRPr="0056191B">
        <w:rPr>
          <w:rFonts w:ascii="Calibri" w:hAnsi="Calibri"/>
        </w:rPr>
        <w:t xml:space="preserve">, C. (2002). Teaching Excellence, Teaching Expertise, and the Scholarship of Teaching. </w:t>
      </w:r>
      <w:r w:rsidRPr="0056191B">
        <w:rPr>
          <w:rFonts w:ascii="Calibri" w:hAnsi="Calibri"/>
          <w:i/>
          <w:iCs/>
        </w:rPr>
        <w:t>Innovative Higher Education</w:t>
      </w:r>
      <w:r w:rsidRPr="0056191B">
        <w:rPr>
          <w:rFonts w:ascii="Calibri" w:hAnsi="Calibri"/>
        </w:rPr>
        <w:t xml:space="preserve">, </w:t>
      </w:r>
      <w:r w:rsidRPr="0056191B">
        <w:rPr>
          <w:rFonts w:ascii="Calibri" w:hAnsi="Calibri"/>
          <w:i/>
          <w:iCs/>
        </w:rPr>
        <w:t>27</w:t>
      </w:r>
      <w:r w:rsidRPr="0056191B">
        <w:rPr>
          <w:rFonts w:ascii="Calibri" w:hAnsi="Calibri"/>
        </w:rPr>
        <w:t>(1), 5.</w:t>
      </w:r>
    </w:p>
    <w:p w:rsidR="0056191B" w:rsidRPr="0056191B" w:rsidRDefault="0056191B" w:rsidP="0056191B">
      <w:pPr>
        <w:pStyle w:val="Bibliography"/>
        <w:rPr>
          <w:rFonts w:ascii="Calibri" w:hAnsi="Calibri"/>
        </w:rPr>
      </w:pPr>
      <w:proofErr w:type="spellStart"/>
      <w:r w:rsidRPr="0056191B">
        <w:rPr>
          <w:rFonts w:ascii="Calibri" w:hAnsi="Calibri"/>
        </w:rPr>
        <w:t>Kreber</w:t>
      </w:r>
      <w:proofErr w:type="spellEnd"/>
      <w:r w:rsidRPr="0056191B">
        <w:rPr>
          <w:rFonts w:ascii="Calibri" w:hAnsi="Calibri"/>
        </w:rPr>
        <w:t xml:space="preserve">, C. (2005). Reflection on teaching and the scholarship of teaching: Focus on science instructors. </w:t>
      </w:r>
      <w:r w:rsidRPr="0056191B">
        <w:rPr>
          <w:rFonts w:ascii="Calibri" w:hAnsi="Calibri"/>
          <w:i/>
          <w:iCs/>
        </w:rPr>
        <w:t>Higher Education</w:t>
      </w:r>
      <w:r w:rsidRPr="0056191B">
        <w:rPr>
          <w:rFonts w:ascii="Calibri" w:hAnsi="Calibri"/>
        </w:rPr>
        <w:t xml:space="preserve">, </w:t>
      </w:r>
      <w:r w:rsidRPr="0056191B">
        <w:rPr>
          <w:rFonts w:ascii="Calibri" w:hAnsi="Calibri"/>
          <w:i/>
          <w:iCs/>
        </w:rPr>
        <w:t>50</w:t>
      </w:r>
      <w:r w:rsidRPr="0056191B">
        <w:rPr>
          <w:rFonts w:ascii="Calibri" w:hAnsi="Calibri"/>
        </w:rPr>
        <w:t>, 323–359.</w:t>
      </w:r>
    </w:p>
    <w:p w:rsidR="0056191B" w:rsidRPr="0056191B" w:rsidRDefault="0056191B" w:rsidP="0056191B">
      <w:pPr>
        <w:pStyle w:val="Bibliography"/>
        <w:rPr>
          <w:rFonts w:ascii="Calibri" w:hAnsi="Calibri"/>
        </w:rPr>
      </w:pPr>
      <w:proofErr w:type="spellStart"/>
      <w:r w:rsidRPr="0056191B">
        <w:rPr>
          <w:rFonts w:ascii="Calibri" w:hAnsi="Calibri"/>
        </w:rPr>
        <w:lastRenderedPageBreak/>
        <w:t>Kreber</w:t>
      </w:r>
      <w:proofErr w:type="spellEnd"/>
      <w:r w:rsidRPr="0056191B">
        <w:rPr>
          <w:rFonts w:ascii="Calibri" w:hAnsi="Calibri"/>
        </w:rPr>
        <w:t xml:space="preserve">, C., &amp; </w:t>
      </w:r>
      <w:proofErr w:type="spellStart"/>
      <w:r w:rsidRPr="0056191B">
        <w:rPr>
          <w:rFonts w:ascii="Calibri" w:hAnsi="Calibri"/>
        </w:rPr>
        <w:t>Castleden</w:t>
      </w:r>
      <w:proofErr w:type="spellEnd"/>
      <w:r w:rsidRPr="0056191B">
        <w:rPr>
          <w:rFonts w:ascii="Calibri" w:hAnsi="Calibri"/>
        </w:rPr>
        <w:t xml:space="preserve">, H. (2009). Reflection on teaching and epistemological structure: reflective and critically reflective processes in ‘pure/soft’ and ‘pure/hard’ fields. </w:t>
      </w:r>
      <w:r w:rsidRPr="0056191B">
        <w:rPr>
          <w:rFonts w:ascii="Calibri" w:hAnsi="Calibri"/>
          <w:i/>
          <w:iCs/>
        </w:rPr>
        <w:t>Higher Education</w:t>
      </w:r>
      <w:r w:rsidRPr="0056191B">
        <w:rPr>
          <w:rFonts w:ascii="Calibri" w:hAnsi="Calibri"/>
        </w:rPr>
        <w:t xml:space="preserve">, </w:t>
      </w:r>
      <w:r w:rsidRPr="0056191B">
        <w:rPr>
          <w:rFonts w:ascii="Calibri" w:hAnsi="Calibri"/>
          <w:i/>
          <w:iCs/>
        </w:rPr>
        <w:t>57</w:t>
      </w:r>
      <w:r w:rsidRPr="0056191B">
        <w:rPr>
          <w:rFonts w:ascii="Calibri" w:hAnsi="Calibri"/>
        </w:rPr>
        <w:t xml:space="preserve">(4), 509–531. </w:t>
      </w:r>
      <w:proofErr w:type="gramStart"/>
      <w:r w:rsidRPr="0056191B">
        <w:rPr>
          <w:rFonts w:ascii="Calibri" w:hAnsi="Calibri"/>
        </w:rPr>
        <w:t>doi:</w:t>
      </w:r>
      <w:proofErr w:type="gramEnd"/>
      <w:r w:rsidRPr="0056191B">
        <w:rPr>
          <w:rFonts w:ascii="Calibri" w:hAnsi="Calibri"/>
        </w:rPr>
        <w:t>10.1007/s10734-008-9158-9</w:t>
      </w:r>
    </w:p>
    <w:p w:rsidR="0056191B" w:rsidRPr="0056191B" w:rsidRDefault="0056191B" w:rsidP="0056191B">
      <w:pPr>
        <w:pStyle w:val="Bibliography"/>
        <w:rPr>
          <w:rFonts w:ascii="Calibri" w:hAnsi="Calibri"/>
        </w:rPr>
      </w:pPr>
      <w:r w:rsidRPr="0056191B">
        <w:rPr>
          <w:rFonts w:ascii="Calibri" w:hAnsi="Calibri"/>
        </w:rPr>
        <w:t xml:space="preserve">Mann, H. B., &amp; Whitney, D. R. (1947). On a Test of Whether one of Two Random Variables is Stochastically Larger than the </w:t>
      </w:r>
      <w:proofErr w:type="gramStart"/>
      <w:r w:rsidRPr="0056191B">
        <w:rPr>
          <w:rFonts w:ascii="Calibri" w:hAnsi="Calibri"/>
        </w:rPr>
        <w:t>Other</w:t>
      </w:r>
      <w:proofErr w:type="gramEnd"/>
      <w:r w:rsidRPr="0056191B">
        <w:rPr>
          <w:rFonts w:ascii="Calibri" w:hAnsi="Calibri"/>
        </w:rPr>
        <w:t xml:space="preserve">. </w:t>
      </w:r>
      <w:r w:rsidRPr="0056191B">
        <w:rPr>
          <w:rFonts w:ascii="Calibri" w:hAnsi="Calibri"/>
          <w:i/>
          <w:iCs/>
        </w:rPr>
        <w:t>Annals of Mathematical Statistics</w:t>
      </w:r>
      <w:r w:rsidRPr="0056191B">
        <w:rPr>
          <w:rFonts w:ascii="Calibri" w:hAnsi="Calibri"/>
        </w:rPr>
        <w:t xml:space="preserve">, </w:t>
      </w:r>
      <w:r w:rsidRPr="0056191B">
        <w:rPr>
          <w:rFonts w:ascii="Calibri" w:hAnsi="Calibri"/>
          <w:i/>
          <w:iCs/>
        </w:rPr>
        <w:t>18</w:t>
      </w:r>
      <w:r w:rsidRPr="0056191B">
        <w:rPr>
          <w:rFonts w:ascii="Calibri" w:hAnsi="Calibri"/>
        </w:rPr>
        <w:t>(1), 50–60.</w:t>
      </w:r>
    </w:p>
    <w:p w:rsidR="0056191B" w:rsidRPr="0056191B" w:rsidRDefault="0056191B" w:rsidP="0056191B">
      <w:pPr>
        <w:pStyle w:val="Bibliography"/>
        <w:rPr>
          <w:rFonts w:ascii="Calibri" w:hAnsi="Calibri"/>
        </w:rPr>
      </w:pPr>
      <w:r w:rsidRPr="0056191B">
        <w:rPr>
          <w:rFonts w:ascii="Calibri" w:hAnsi="Calibri"/>
        </w:rPr>
        <w:t xml:space="preserve">McLean, J. (2009). Triggering Engagement in SoTL through Threshold Concepts. </w:t>
      </w:r>
      <w:r w:rsidRPr="0056191B">
        <w:rPr>
          <w:rFonts w:ascii="Calibri" w:hAnsi="Calibri"/>
          <w:i/>
          <w:iCs/>
        </w:rPr>
        <w:t>International Journal for the Scholarship of Teaching and Learning</w:t>
      </w:r>
      <w:r w:rsidRPr="0056191B">
        <w:rPr>
          <w:rFonts w:ascii="Calibri" w:hAnsi="Calibri"/>
        </w:rPr>
        <w:t xml:space="preserve">, </w:t>
      </w:r>
      <w:r w:rsidRPr="0056191B">
        <w:rPr>
          <w:rFonts w:ascii="Calibri" w:hAnsi="Calibri"/>
          <w:i/>
          <w:iCs/>
        </w:rPr>
        <w:t>3</w:t>
      </w:r>
      <w:r w:rsidRPr="0056191B">
        <w:rPr>
          <w:rFonts w:ascii="Calibri" w:hAnsi="Calibri"/>
        </w:rPr>
        <w:t>(2), Article 24.</w:t>
      </w:r>
    </w:p>
    <w:p w:rsidR="0056191B" w:rsidRPr="0056191B" w:rsidRDefault="0056191B" w:rsidP="0056191B">
      <w:pPr>
        <w:pStyle w:val="Bibliography"/>
        <w:rPr>
          <w:rFonts w:ascii="Calibri" w:hAnsi="Calibri"/>
        </w:rPr>
      </w:pPr>
      <w:r w:rsidRPr="0056191B">
        <w:rPr>
          <w:rFonts w:ascii="Calibri" w:hAnsi="Calibri"/>
        </w:rPr>
        <w:t xml:space="preserve">Meyer, J. H. F., &amp; Land, R. (2003). Threshold concepts and troublesome knowledge: linkages to ways of thinking and practising within the disciplines. In </w:t>
      </w:r>
      <w:r w:rsidRPr="0056191B">
        <w:rPr>
          <w:rFonts w:ascii="Calibri" w:hAnsi="Calibri"/>
          <w:i/>
          <w:iCs/>
        </w:rPr>
        <w:t>Improving student learning: Improving student learning theory and practice - Ten Years On.</w:t>
      </w:r>
      <w:r w:rsidRPr="0056191B">
        <w:rPr>
          <w:rFonts w:ascii="Calibri" w:hAnsi="Calibri"/>
        </w:rPr>
        <w:t xml:space="preserve"> (Rust, C. (Ed).). Oxford: Oxford Centre for Staff and Learning Development.</w:t>
      </w:r>
    </w:p>
    <w:p w:rsidR="0056191B" w:rsidRPr="0056191B" w:rsidRDefault="0056191B" w:rsidP="0056191B">
      <w:pPr>
        <w:pStyle w:val="Bibliography"/>
        <w:rPr>
          <w:rFonts w:ascii="Calibri" w:hAnsi="Calibri"/>
        </w:rPr>
      </w:pPr>
      <w:r w:rsidRPr="0056191B">
        <w:rPr>
          <w:rFonts w:ascii="Calibri" w:hAnsi="Calibri"/>
        </w:rPr>
        <w:t xml:space="preserve">Meyer, J. H. F., &amp; Land, R. (2005). Threshold concepts and troublesome knowledge (2): Epistemological considerations and a conceptual framework for teaching and learning. </w:t>
      </w:r>
      <w:r w:rsidRPr="0056191B">
        <w:rPr>
          <w:rFonts w:ascii="Calibri" w:hAnsi="Calibri"/>
          <w:i/>
          <w:iCs/>
        </w:rPr>
        <w:t>Higher Education</w:t>
      </w:r>
      <w:r w:rsidRPr="0056191B">
        <w:rPr>
          <w:rFonts w:ascii="Calibri" w:hAnsi="Calibri"/>
        </w:rPr>
        <w:t xml:space="preserve">, </w:t>
      </w:r>
      <w:r w:rsidRPr="0056191B">
        <w:rPr>
          <w:rFonts w:ascii="Calibri" w:hAnsi="Calibri"/>
          <w:i/>
          <w:iCs/>
        </w:rPr>
        <w:t>49</w:t>
      </w:r>
      <w:r w:rsidRPr="0056191B">
        <w:rPr>
          <w:rFonts w:ascii="Calibri" w:hAnsi="Calibri"/>
        </w:rPr>
        <w:t>, 373–388.</w:t>
      </w:r>
    </w:p>
    <w:p w:rsidR="0056191B" w:rsidRPr="0056191B" w:rsidRDefault="0056191B" w:rsidP="0056191B">
      <w:pPr>
        <w:pStyle w:val="Bibliography"/>
        <w:rPr>
          <w:rFonts w:ascii="Calibri" w:hAnsi="Calibri"/>
        </w:rPr>
      </w:pPr>
      <w:r w:rsidRPr="0056191B">
        <w:rPr>
          <w:rFonts w:ascii="Calibri" w:hAnsi="Calibri"/>
        </w:rPr>
        <w:t xml:space="preserve">Osgood, C. E., &amp; </w:t>
      </w:r>
      <w:proofErr w:type="spellStart"/>
      <w:r w:rsidRPr="0056191B">
        <w:rPr>
          <w:rFonts w:ascii="Calibri" w:hAnsi="Calibri"/>
        </w:rPr>
        <w:t>Suci</w:t>
      </w:r>
      <w:proofErr w:type="spellEnd"/>
      <w:r w:rsidRPr="0056191B">
        <w:rPr>
          <w:rFonts w:ascii="Calibri" w:hAnsi="Calibri"/>
        </w:rPr>
        <w:t xml:space="preserve">, G. J. (1969). Factor analysis of meaning. In </w:t>
      </w:r>
      <w:r w:rsidRPr="0056191B">
        <w:rPr>
          <w:rFonts w:ascii="Calibri" w:hAnsi="Calibri"/>
          <w:i/>
          <w:iCs/>
        </w:rPr>
        <w:t>Semantic differential Technique: A sourcebook of basic studies of the origin, theoretical basis, methodology, validity, and specific uses of an important new tool for social and behavioural scientists.</w:t>
      </w:r>
      <w:r w:rsidRPr="0056191B">
        <w:rPr>
          <w:rFonts w:ascii="Calibri" w:hAnsi="Calibri"/>
        </w:rPr>
        <w:t xml:space="preserve"> (Snider, J. G. &amp; Osgood, C. E. (</w:t>
      </w:r>
      <w:proofErr w:type="spellStart"/>
      <w:r w:rsidRPr="0056191B">
        <w:rPr>
          <w:rFonts w:ascii="Calibri" w:hAnsi="Calibri"/>
        </w:rPr>
        <w:t>Eds</w:t>
      </w:r>
      <w:proofErr w:type="spellEnd"/>
      <w:r w:rsidRPr="0056191B">
        <w:rPr>
          <w:rFonts w:ascii="Calibri" w:hAnsi="Calibri"/>
        </w:rPr>
        <w:t>)., pp. 42–55). Chicago: Aldine Publishing Company.</w:t>
      </w:r>
    </w:p>
    <w:p w:rsidR="0056191B" w:rsidRPr="0056191B" w:rsidRDefault="0056191B" w:rsidP="0056191B">
      <w:pPr>
        <w:pStyle w:val="Bibliography"/>
        <w:rPr>
          <w:rFonts w:ascii="Calibri" w:hAnsi="Calibri"/>
        </w:rPr>
      </w:pPr>
      <w:r w:rsidRPr="0056191B">
        <w:rPr>
          <w:rFonts w:ascii="Calibri" w:hAnsi="Calibri"/>
        </w:rPr>
        <w:t xml:space="preserve">Osgood, C. E., </w:t>
      </w:r>
      <w:proofErr w:type="spellStart"/>
      <w:r w:rsidRPr="0056191B">
        <w:rPr>
          <w:rFonts w:ascii="Calibri" w:hAnsi="Calibri"/>
        </w:rPr>
        <w:t>Suci</w:t>
      </w:r>
      <w:proofErr w:type="spellEnd"/>
      <w:r w:rsidRPr="0056191B">
        <w:rPr>
          <w:rFonts w:ascii="Calibri" w:hAnsi="Calibri"/>
        </w:rPr>
        <w:t xml:space="preserve">, G. J., &amp; </w:t>
      </w:r>
      <w:proofErr w:type="spellStart"/>
      <w:r w:rsidRPr="0056191B">
        <w:rPr>
          <w:rFonts w:ascii="Calibri" w:hAnsi="Calibri"/>
        </w:rPr>
        <w:t>Tannenbaum</w:t>
      </w:r>
      <w:proofErr w:type="spellEnd"/>
      <w:r w:rsidRPr="0056191B">
        <w:rPr>
          <w:rFonts w:ascii="Calibri" w:hAnsi="Calibri"/>
        </w:rPr>
        <w:t xml:space="preserve">, P. H. (1957). </w:t>
      </w:r>
      <w:r w:rsidRPr="0056191B">
        <w:rPr>
          <w:rFonts w:ascii="Calibri" w:hAnsi="Calibri"/>
          <w:i/>
          <w:iCs/>
        </w:rPr>
        <w:t>The Measurement of Meaning</w:t>
      </w:r>
      <w:r w:rsidRPr="0056191B">
        <w:rPr>
          <w:rFonts w:ascii="Calibri" w:hAnsi="Calibri"/>
        </w:rPr>
        <w:t>. Urbana, USA: University of Illinois Press.</w:t>
      </w:r>
    </w:p>
    <w:p w:rsidR="0056191B" w:rsidRPr="0056191B" w:rsidRDefault="0056191B" w:rsidP="0056191B">
      <w:pPr>
        <w:pStyle w:val="Bibliography"/>
        <w:rPr>
          <w:rFonts w:ascii="Calibri" w:hAnsi="Calibri"/>
        </w:rPr>
      </w:pPr>
      <w:r w:rsidRPr="0056191B">
        <w:rPr>
          <w:rFonts w:ascii="Calibri" w:hAnsi="Calibri"/>
        </w:rPr>
        <w:t xml:space="preserve">Perkins, D. (1999). The many faces of constructivism. </w:t>
      </w:r>
      <w:r w:rsidRPr="0056191B">
        <w:rPr>
          <w:rFonts w:ascii="Calibri" w:hAnsi="Calibri"/>
          <w:i/>
          <w:iCs/>
        </w:rPr>
        <w:t>Educational Leadership</w:t>
      </w:r>
      <w:r w:rsidRPr="0056191B">
        <w:rPr>
          <w:rFonts w:ascii="Calibri" w:hAnsi="Calibri"/>
        </w:rPr>
        <w:t xml:space="preserve">, </w:t>
      </w:r>
      <w:r w:rsidRPr="0056191B">
        <w:rPr>
          <w:rFonts w:ascii="Calibri" w:hAnsi="Calibri"/>
          <w:i/>
          <w:iCs/>
        </w:rPr>
        <w:t>57</w:t>
      </w:r>
      <w:r w:rsidRPr="0056191B">
        <w:rPr>
          <w:rFonts w:ascii="Calibri" w:hAnsi="Calibri"/>
        </w:rPr>
        <w:t>(3).</w:t>
      </w:r>
    </w:p>
    <w:p w:rsidR="0056191B" w:rsidRPr="0056191B" w:rsidRDefault="0056191B" w:rsidP="0056191B">
      <w:pPr>
        <w:pStyle w:val="Bibliography"/>
        <w:rPr>
          <w:rFonts w:ascii="Calibri" w:hAnsi="Calibri"/>
        </w:rPr>
      </w:pPr>
      <w:r w:rsidRPr="0056191B">
        <w:rPr>
          <w:rFonts w:ascii="Calibri" w:hAnsi="Calibri"/>
        </w:rPr>
        <w:t xml:space="preserve">Smith, K. (2012). </w:t>
      </w:r>
      <w:r w:rsidRPr="0056191B">
        <w:rPr>
          <w:rFonts w:ascii="Calibri" w:hAnsi="Calibri"/>
          <w:i/>
          <w:iCs/>
        </w:rPr>
        <w:t>An Investigation of student learning using threshold concepts in a first year cell biology course</w:t>
      </w:r>
      <w:r w:rsidRPr="0056191B">
        <w:rPr>
          <w:rFonts w:ascii="Calibri" w:hAnsi="Calibri"/>
        </w:rPr>
        <w:t xml:space="preserve"> (Master of Arts). University of British Columbia, Vancouver, Canada. Retrieved from https://circle-prod.library.ubc.ca/bitstream/handle/2429/41938/ubc_2012_spring_smith_karen.pdf?sequence=1</w:t>
      </w:r>
    </w:p>
    <w:p w:rsidR="0056191B" w:rsidRPr="0056191B" w:rsidRDefault="0056191B" w:rsidP="0056191B">
      <w:pPr>
        <w:pStyle w:val="Bibliography"/>
        <w:rPr>
          <w:rFonts w:ascii="Calibri" w:hAnsi="Calibri"/>
        </w:rPr>
      </w:pPr>
      <w:r w:rsidRPr="0056191B">
        <w:rPr>
          <w:rFonts w:ascii="Calibri" w:hAnsi="Calibri"/>
        </w:rPr>
        <w:lastRenderedPageBreak/>
        <w:t xml:space="preserve">Taylor, C., </w:t>
      </w:r>
      <w:proofErr w:type="spellStart"/>
      <w:r w:rsidRPr="0056191B">
        <w:rPr>
          <w:rFonts w:ascii="Calibri" w:hAnsi="Calibri"/>
        </w:rPr>
        <w:t>Tzoumis</w:t>
      </w:r>
      <w:proofErr w:type="spellEnd"/>
      <w:r w:rsidRPr="0056191B">
        <w:rPr>
          <w:rFonts w:ascii="Calibri" w:hAnsi="Calibri"/>
        </w:rPr>
        <w:t xml:space="preserve">, V., Meyer, J. H. F., &amp; Ross, P. (2012). Using a mixed methods approach to explore student understanding of hypotheses in Biology. In </w:t>
      </w:r>
      <w:r w:rsidRPr="0056191B">
        <w:rPr>
          <w:rFonts w:ascii="Calibri" w:hAnsi="Calibri"/>
          <w:i/>
          <w:iCs/>
        </w:rPr>
        <w:t>Proceedings of the National Academy’s Sixth Annual Conference and the Fourth Biennial Threshold Concepts Conference</w:t>
      </w:r>
      <w:r w:rsidRPr="0056191B">
        <w:rPr>
          <w:rFonts w:ascii="Calibri" w:hAnsi="Calibri"/>
        </w:rPr>
        <w:t xml:space="preserve"> (pp. 83–87). Trinity College, Dublin: NAIRTL. Retrieved from http://www.nairtl.ie/documents/EPub_2012Proceedings.pdf#page=93</w:t>
      </w:r>
    </w:p>
    <w:p w:rsidR="0056191B" w:rsidRPr="0056191B" w:rsidRDefault="0056191B" w:rsidP="0056191B">
      <w:pPr>
        <w:pStyle w:val="Bibliography"/>
        <w:rPr>
          <w:rFonts w:ascii="Calibri" w:hAnsi="Calibri"/>
        </w:rPr>
      </w:pPr>
      <w:r w:rsidRPr="0056191B">
        <w:rPr>
          <w:rFonts w:ascii="Calibri" w:hAnsi="Calibri"/>
        </w:rPr>
        <w:t>Times Higher Education. (2008, January 3). A lesser breed? Retrieved 21 April 2013, from http://www.timeshighereducation.co.uk/features/a-lesser-breed/400361.article</w:t>
      </w:r>
    </w:p>
    <w:p w:rsidR="0056191B" w:rsidRPr="0056191B" w:rsidRDefault="0056191B" w:rsidP="0056191B">
      <w:pPr>
        <w:pStyle w:val="Bibliography"/>
        <w:rPr>
          <w:rFonts w:ascii="Calibri" w:hAnsi="Calibri"/>
        </w:rPr>
      </w:pPr>
      <w:proofErr w:type="spellStart"/>
      <w:r w:rsidRPr="0056191B">
        <w:rPr>
          <w:rFonts w:ascii="Calibri" w:hAnsi="Calibri"/>
        </w:rPr>
        <w:t>Timmermans</w:t>
      </w:r>
      <w:proofErr w:type="spellEnd"/>
      <w:r w:rsidRPr="0056191B">
        <w:rPr>
          <w:rFonts w:ascii="Calibri" w:hAnsi="Calibri"/>
        </w:rPr>
        <w:t xml:space="preserve">, J. A. (2013). Identifying threshold concepts in the careers of educational developers. </w:t>
      </w:r>
      <w:r w:rsidRPr="0056191B">
        <w:rPr>
          <w:rFonts w:ascii="Calibri" w:hAnsi="Calibri"/>
          <w:i/>
          <w:iCs/>
        </w:rPr>
        <w:t>International Journal for Academic Development</w:t>
      </w:r>
      <w:r w:rsidRPr="0056191B">
        <w:rPr>
          <w:rFonts w:ascii="Calibri" w:hAnsi="Calibri"/>
        </w:rPr>
        <w:t>. doi:10.1080/1360144X.2014.895731</w:t>
      </w:r>
    </w:p>
    <w:p w:rsidR="0056191B" w:rsidRPr="0056191B" w:rsidRDefault="0056191B" w:rsidP="0056191B">
      <w:pPr>
        <w:pStyle w:val="Bibliography"/>
        <w:rPr>
          <w:rFonts w:ascii="Calibri" w:hAnsi="Calibri"/>
        </w:rPr>
      </w:pPr>
      <w:proofErr w:type="spellStart"/>
      <w:r w:rsidRPr="0056191B">
        <w:rPr>
          <w:rFonts w:ascii="Calibri" w:hAnsi="Calibri"/>
        </w:rPr>
        <w:t>Trigwell</w:t>
      </w:r>
      <w:proofErr w:type="spellEnd"/>
      <w:r w:rsidRPr="0056191B">
        <w:rPr>
          <w:rFonts w:ascii="Calibri" w:hAnsi="Calibri"/>
        </w:rPr>
        <w:t xml:space="preserve">, K., Martin, E., Benjamin, J., &amp; Prosser, M. (2000). Scholarship of Teaching: a model. </w:t>
      </w:r>
      <w:r w:rsidRPr="0056191B">
        <w:rPr>
          <w:rFonts w:ascii="Calibri" w:hAnsi="Calibri"/>
          <w:i/>
          <w:iCs/>
        </w:rPr>
        <w:t>Higher Education Research &amp; Development</w:t>
      </w:r>
      <w:r w:rsidRPr="0056191B">
        <w:rPr>
          <w:rFonts w:ascii="Calibri" w:hAnsi="Calibri"/>
        </w:rPr>
        <w:t xml:space="preserve">, </w:t>
      </w:r>
      <w:r w:rsidRPr="0056191B">
        <w:rPr>
          <w:rFonts w:ascii="Calibri" w:hAnsi="Calibri"/>
          <w:i/>
          <w:iCs/>
        </w:rPr>
        <w:t>19</w:t>
      </w:r>
      <w:r w:rsidRPr="0056191B">
        <w:rPr>
          <w:rFonts w:ascii="Calibri" w:hAnsi="Calibri"/>
        </w:rPr>
        <w:t>(2), 155–168.</w:t>
      </w:r>
    </w:p>
    <w:p w:rsidR="0056191B" w:rsidRPr="0056191B" w:rsidRDefault="0056191B" w:rsidP="0056191B">
      <w:pPr>
        <w:pStyle w:val="Bibliography"/>
        <w:rPr>
          <w:rFonts w:ascii="Calibri" w:hAnsi="Calibri"/>
        </w:rPr>
      </w:pPr>
      <w:proofErr w:type="spellStart"/>
      <w:r w:rsidRPr="0056191B">
        <w:rPr>
          <w:rFonts w:ascii="Calibri" w:hAnsi="Calibri"/>
        </w:rPr>
        <w:t>Vajoczki</w:t>
      </w:r>
      <w:proofErr w:type="spellEnd"/>
      <w:r w:rsidRPr="0056191B">
        <w:rPr>
          <w:rFonts w:ascii="Calibri" w:hAnsi="Calibri"/>
        </w:rPr>
        <w:t xml:space="preserve">, S., Savage, P., Martin, L., </w:t>
      </w:r>
      <w:proofErr w:type="spellStart"/>
      <w:r w:rsidRPr="0056191B">
        <w:rPr>
          <w:rFonts w:ascii="Calibri" w:hAnsi="Calibri"/>
        </w:rPr>
        <w:t>Borin</w:t>
      </w:r>
      <w:proofErr w:type="spellEnd"/>
      <w:r w:rsidRPr="0056191B">
        <w:rPr>
          <w:rFonts w:ascii="Calibri" w:hAnsi="Calibri"/>
        </w:rPr>
        <w:t xml:space="preserve">, P., &amp; </w:t>
      </w:r>
      <w:proofErr w:type="spellStart"/>
      <w:r w:rsidRPr="0056191B">
        <w:rPr>
          <w:rFonts w:ascii="Calibri" w:hAnsi="Calibri"/>
        </w:rPr>
        <w:t>Kustra</w:t>
      </w:r>
      <w:proofErr w:type="spellEnd"/>
      <w:r w:rsidRPr="0056191B">
        <w:rPr>
          <w:rFonts w:ascii="Calibri" w:hAnsi="Calibri"/>
        </w:rPr>
        <w:t xml:space="preserve">, E. (2011). Good Teachers, Scholarly Teachers and Teachers Engaged in Scholarship of Teaching and Learning: A Case Study from McMaster University, Hamilton, Canada. </w:t>
      </w:r>
      <w:r w:rsidRPr="0056191B">
        <w:rPr>
          <w:rFonts w:ascii="Calibri" w:hAnsi="Calibri"/>
          <w:i/>
          <w:iCs/>
        </w:rPr>
        <w:t>The Canadian Journal for the Scholarship of Teaching and Learning</w:t>
      </w:r>
      <w:r w:rsidRPr="0056191B">
        <w:rPr>
          <w:rFonts w:ascii="Calibri" w:hAnsi="Calibri"/>
        </w:rPr>
        <w:t xml:space="preserve">, </w:t>
      </w:r>
      <w:r w:rsidRPr="0056191B">
        <w:rPr>
          <w:rFonts w:ascii="Calibri" w:hAnsi="Calibri"/>
          <w:i/>
          <w:iCs/>
        </w:rPr>
        <w:t>2</w:t>
      </w:r>
      <w:r w:rsidRPr="0056191B">
        <w:rPr>
          <w:rFonts w:ascii="Calibri" w:hAnsi="Calibri"/>
        </w:rPr>
        <w:t xml:space="preserve">(1). </w:t>
      </w:r>
      <w:proofErr w:type="spellStart"/>
      <w:r w:rsidRPr="0056191B">
        <w:rPr>
          <w:rFonts w:ascii="Calibri" w:hAnsi="Calibri"/>
        </w:rPr>
        <w:t>doi:http</w:t>
      </w:r>
      <w:proofErr w:type="spellEnd"/>
      <w:r w:rsidRPr="0056191B">
        <w:rPr>
          <w:rFonts w:ascii="Calibri" w:hAnsi="Calibri"/>
        </w:rPr>
        <w:t>://dx.doi.org/10.5206/cjsotl-rcacea.2011.1.2</w:t>
      </w:r>
    </w:p>
    <w:p w:rsidR="0056191B" w:rsidRPr="0056191B" w:rsidRDefault="0056191B" w:rsidP="0056191B">
      <w:pPr>
        <w:pStyle w:val="Bibliography"/>
        <w:rPr>
          <w:rFonts w:ascii="Calibri" w:hAnsi="Calibri"/>
        </w:rPr>
      </w:pPr>
      <w:r w:rsidRPr="0056191B">
        <w:rPr>
          <w:rFonts w:ascii="Calibri" w:hAnsi="Calibri"/>
        </w:rPr>
        <w:t>Webb, A. (2014). Threshold Concepts and the Scholarship of Teaching and Learning. Presented at the Threshold Concepts in Practice, Durham University.</w:t>
      </w:r>
    </w:p>
    <w:p w:rsidR="00901B12" w:rsidRPr="00432503" w:rsidRDefault="00901B12" w:rsidP="00A80524">
      <w:pPr>
        <w:spacing w:line="240" w:lineRule="auto"/>
      </w:pPr>
      <w:r>
        <w:fldChar w:fldCharType="end"/>
      </w:r>
    </w:p>
    <w:sectPr w:rsidR="00901B12" w:rsidRPr="00432503" w:rsidSect="00767E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EB" w:rsidRDefault="00205EEB" w:rsidP="00AE203A">
      <w:pPr>
        <w:spacing w:after="0" w:line="240" w:lineRule="auto"/>
      </w:pPr>
      <w:r>
        <w:separator/>
      </w:r>
    </w:p>
  </w:endnote>
  <w:endnote w:type="continuationSeparator" w:id="0">
    <w:p w:rsidR="00205EEB" w:rsidRDefault="00205EEB" w:rsidP="00AE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596651"/>
      <w:docPartObj>
        <w:docPartGallery w:val="Page Numbers (Bottom of Page)"/>
        <w:docPartUnique/>
      </w:docPartObj>
    </w:sdtPr>
    <w:sdtEndPr>
      <w:rPr>
        <w:noProof/>
      </w:rPr>
    </w:sdtEndPr>
    <w:sdtContent>
      <w:p w:rsidR="00224559" w:rsidRDefault="00224559">
        <w:pPr>
          <w:pStyle w:val="Footer"/>
          <w:jc w:val="right"/>
        </w:pPr>
        <w:r>
          <w:fldChar w:fldCharType="begin"/>
        </w:r>
        <w:r>
          <w:instrText xml:space="preserve"> PAGE   \* MERGEFORMAT </w:instrText>
        </w:r>
        <w:r>
          <w:fldChar w:fldCharType="separate"/>
        </w:r>
        <w:r w:rsidR="0056191B">
          <w:rPr>
            <w:noProof/>
          </w:rPr>
          <w:t>16</w:t>
        </w:r>
        <w:r>
          <w:rPr>
            <w:noProof/>
          </w:rPr>
          <w:fldChar w:fldCharType="end"/>
        </w:r>
      </w:p>
    </w:sdtContent>
  </w:sdt>
  <w:p w:rsidR="00224559" w:rsidRDefault="0022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EB" w:rsidRDefault="00205EEB" w:rsidP="00AE203A">
      <w:pPr>
        <w:spacing w:after="0" w:line="240" w:lineRule="auto"/>
      </w:pPr>
      <w:r>
        <w:separator/>
      </w:r>
    </w:p>
  </w:footnote>
  <w:footnote w:type="continuationSeparator" w:id="0">
    <w:p w:rsidR="00205EEB" w:rsidRDefault="00205EEB" w:rsidP="00AE20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287E"/>
    <w:rsid w:val="0009226D"/>
    <w:rsid w:val="00096B09"/>
    <w:rsid w:val="000B0F04"/>
    <w:rsid w:val="000C1352"/>
    <w:rsid w:val="000D16F6"/>
    <w:rsid w:val="000E4F13"/>
    <w:rsid w:val="00101E1A"/>
    <w:rsid w:val="00104E48"/>
    <w:rsid w:val="00113A5C"/>
    <w:rsid w:val="00113EF0"/>
    <w:rsid w:val="00143B39"/>
    <w:rsid w:val="00170180"/>
    <w:rsid w:val="00173442"/>
    <w:rsid w:val="00183DFF"/>
    <w:rsid w:val="001B0CF6"/>
    <w:rsid w:val="001C5259"/>
    <w:rsid w:val="001C66E0"/>
    <w:rsid w:val="001D1411"/>
    <w:rsid w:val="00205EEB"/>
    <w:rsid w:val="00224559"/>
    <w:rsid w:val="002517E4"/>
    <w:rsid w:val="00290C4D"/>
    <w:rsid w:val="002913DD"/>
    <w:rsid w:val="002B0A09"/>
    <w:rsid w:val="002B1910"/>
    <w:rsid w:val="002C3C3B"/>
    <w:rsid w:val="00315EFA"/>
    <w:rsid w:val="0033453E"/>
    <w:rsid w:val="00345A37"/>
    <w:rsid w:val="003655E2"/>
    <w:rsid w:val="003A475F"/>
    <w:rsid w:val="003D1AA2"/>
    <w:rsid w:val="00401979"/>
    <w:rsid w:val="00404C32"/>
    <w:rsid w:val="00432503"/>
    <w:rsid w:val="00444628"/>
    <w:rsid w:val="004A241F"/>
    <w:rsid w:val="004B1342"/>
    <w:rsid w:val="004D2CB0"/>
    <w:rsid w:val="00501D5F"/>
    <w:rsid w:val="00516F82"/>
    <w:rsid w:val="00560DC2"/>
    <w:rsid w:val="0056191B"/>
    <w:rsid w:val="005759CF"/>
    <w:rsid w:val="005761EE"/>
    <w:rsid w:val="005E0DA7"/>
    <w:rsid w:val="00614460"/>
    <w:rsid w:val="006212B1"/>
    <w:rsid w:val="00622AEF"/>
    <w:rsid w:val="006409AB"/>
    <w:rsid w:val="006536F5"/>
    <w:rsid w:val="006630E6"/>
    <w:rsid w:val="006851DA"/>
    <w:rsid w:val="006919AB"/>
    <w:rsid w:val="006C4BD8"/>
    <w:rsid w:val="006D2CC2"/>
    <w:rsid w:val="006D3E92"/>
    <w:rsid w:val="006F5D70"/>
    <w:rsid w:val="00700A70"/>
    <w:rsid w:val="007020AA"/>
    <w:rsid w:val="0071402A"/>
    <w:rsid w:val="00727C6A"/>
    <w:rsid w:val="00767E66"/>
    <w:rsid w:val="00774000"/>
    <w:rsid w:val="007B0E04"/>
    <w:rsid w:val="007E0950"/>
    <w:rsid w:val="00800939"/>
    <w:rsid w:val="008314A9"/>
    <w:rsid w:val="0084433D"/>
    <w:rsid w:val="008A7796"/>
    <w:rsid w:val="008B5F54"/>
    <w:rsid w:val="008D21FD"/>
    <w:rsid w:val="008D62D8"/>
    <w:rsid w:val="008E23AB"/>
    <w:rsid w:val="008F2F86"/>
    <w:rsid w:val="00901B12"/>
    <w:rsid w:val="00906B7C"/>
    <w:rsid w:val="0094287E"/>
    <w:rsid w:val="00955ADA"/>
    <w:rsid w:val="00967F7B"/>
    <w:rsid w:val="00993869"/>
    <w:rsid w:val="009A5CC5"/>
    <w:rsid w:val="009B4DBF"/>
    <w:rsid w:val="009C1F6B"/>
    <w:rsid w:val="009F0A8C"/>
    <w:rsid w:val="00A36EBB"/>
    <w:rsid w:val="00A46B9A"/>
    <w:rsid w:val="00A64346"/>
    <w:rsid w:val="00A80524"/>
    <w:rsid w:val="00AA3C50"/>
    <w:rsid w:val="00AB051C"/>
    <w:rsid w:val="00AB2E8F"/>
    <w:rsid w:val="00AD6286"/>
    <w:rsid w:val="00AE203A"/>
    <w:rsid w:val="00AF7716"/>
    <w:rsid w:val="00B168F0"/>
    <w:rsid w:val="00B31A70"/>
    <w:rsid w:val="00B42082"/>
    <w:rsid w:val="00B65025"/>
    <w:rsid w:val="00B730B6"/>
    <w:rsid w:val="00BA24B5"/>
    <w:rsid w:val="00BC6751"/>
    <w:rsid w:val="00BD1368"/>
    <w:rsid w:val="00BD308A"/>
    <w:rsid w:val="00BE3768"/>
    <w:rsid w:val="00C01466"/>
    <w:rsid w:val="00C03E56"/>
    <w:rsid w:val="00C22B2F"/>
    <w:rsid w:val="00C24C74"/>
    <w:rsid w:val="00C26300"/>
    <w:rsid w:val="00C341B2"/>
    <w:rsid w:val="00C61235"/>
    <w:rsid w:val="00C61864"/>
    <w:rsid w:val="00C7048B"/>
    <w:rsid w:val="00C86CE7"/>
    <w:rsid w:val="00CC4EC2"/>
    <w:rsid w:val="00CD6CA4"/>
    <w:rsid w:val="00CE2CFD"/>
    <w:rsid w:val="00CF5629"/>
    <w:rsid w:val="00D17F4A"/>
    <w:rsid w:val="00D26532"/>
    <w:rsid w:val="00D32B72"/>
    <w:rsid w:val="00D47D07"/>
    <w:rsid w:val="00D54093"/>
    <w:rsid w:val="00D57BBA"/>
    <w:rsid w:val="00D70B07"/>
    <w:rsid w:val="00D90F4B"/>
    <w:rsid w:val="00D93CAA"/>
    <w:rsid w:val="00DB7C24"/>
    <w:rsid w:val="00DD1750"/>
    <w:rsid w:val="00E15F1A"/>
    <w:rsid w:val="00E35330"/>
    <w:rsid w:val="00E64862"/>
    <w:rsid w:val="00E700AA"/>
    <w:rsid w:val="00E857DB"/>
    <w:rsid w:val="00EB33CD"/>
    <w:rsid w:val="00EB610B"/>
    <w:rsid w:val="00EE2DE8"/>
    <w:rsid w:val="00EE3D14"/>
    <w:rsid w:val="00EE5306"/>
    <w:rsid w:val="00EF09E0"/>
    <w:rsid w:val="00F13054"/>
    <w:rsid w:val="00F15BC5"/>
    <w:rsid w:val="00F17E19"/>
    <w:rsid w:val="00F53F90"/>
    <w:rsid w:val="00F61C64"/>
    <w:rsid w:val="00F75A6E"/>
    <w:rsid w:val="00F93E9A"/>
    <w:rsid w:val="00FA6FC0"/>
    <w:rsid w:val="00FD73D3"/>
    <w:rsid w:val="00FF1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9B8AF-0525-4945-AD4D-E72840F7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66"/>
  </w:style>
  <w:style w:type="paragraph" w:styleId="Heading2">
    <w:name w:val="heading 2"/>
    <w:basedOn w:val="Normal"/>
    <w:link w:val="Heading2Char"/>
    <w:uiPriority w:val="9"/>
    <w:rsid w:val="00BE3768"/>
    <w:pPr>
      <w:spacing w:beforeLines="1" w:afterLines="1" w:line="240" w:lineRule="auto"/>
      <w:outlineLvl w:val="1"/>
    </w:pPr>
    <w:rPr>
      <w:rFonts w:ascii="Times" w:hAnsi="Times"/>
      <w:b/>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01B12"/>
    <w:pPr>
      <w:spacing w:after="0" w:line="480" w:lineRule="auto"/>
      <w:ind w:left="720" w:hanging="720"/>
    </w:pPr>
  </w:style>
  <w:style w:type="character" w:customStyle="1" w:styleId="Heading2Char">
    <w:name w:val="Heading 2 Char"/>
    <w:basedOn w:val="DefaultParagraphFont"/>
    <w:link w:val="Heading2"/>
    <w:uiPriority w:val="9"/>
    <w:rsid w:val="00BE3768"/>
    <w:rPr>
      <w:rFonts w:ascii="Times" w:hAnsi="Times"/>
      <w:b/>
      <w:sz w:val="36"/>
      <w:szCs w:val="20"/>
    </w:rPr>
  </w:style>
  <w:style w:type="table" w:styleId="TableGrid">
    <w:name w:val="Table Grid"/>
    <w:basedOn w:val="TableNormal"/>
    <w:uiPriority w:val="59"/>
    <w:rsid w:val="00BE376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03A"/>
  </w:style>
  <w:style w:type="paragraph" w:styleId="Footer">
    <w:name w:val="footer"/>
    <w:basedOn w:val="Normal"/>
    <w:link w:val="FooterChar"/>
    <w:uiPriority w:val="99"/>
    <w:unhideWhenUsed/>
    <w:rsid w:val="00AE2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3A"/>
  </w:style>
  <w:style w:type="character" w:styleId="Hyperlink">
    <w:name w:val="Hyperlink"/>
    <w:basedOn w:val="DefaultParagraphFont"/>
    <w:uiPriority w:val="99"/>
    <w:unhideWhenUsed/>
    <w:rsid w:val="004D2CB0"/>
    <w:rPr>
      <w:color w:val="0000FF" w:themeColor="hyperlink"/>
      <w:u w:val="single"/>
    </w:rPr>
  </w:style>
  <w:style w:type="paragraph" w:styleId="Caption">
    <w:name w:val="caption"/>
    <w:basedOn w:val="Normal"/>
    <w:next w:val="Normal"/>
    <w:uiPriority w:val="35"/>
    <w:unhideWhenUsed/>
    <w:qFormat/>
    <w:rsid w:val="000C1352"/>
    <w:pPr>
      <w:spacing w:line="240" w:lineRule="auto"/>
      <w:jc w:val="center"/>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ne\Documents\Durham\themes%20for%20conversation-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Sheet1!$A$2:$A$5</c:f>
              <c:strCache>
                <c:ptCount val="4"/>
                <c:pt idx="0">
                  <c:v>Informed dimension</c:v>
                </c:pt>
                <c:pt idx="1">
                  <c:v>Reflection dimension</c:v>
                </c:pt>
                <c:pt idx="2">
                  <c:v>Communication dimension</c:v>
                </c:pt>
                <c:pt idx="3">
                  <c:v>Conception dimension</c:v>
                </c:pt>
              </c:strCache>
            </c:strRef>
          </c:cat>
          <c:val>
            <c:numRef>
              <c:f>Sheet1!$B$2:$B$5</c:f>
              <c:numCache>
                <c:formatCode>General</c:formatCode>
                <c:ptCount val="4"/>
                <c:pt idx="0">
                  <c:v>3.14</c:v>
                </c:pt>
                <c:pt idx="1">
                  <c:v>3.81</c:v>
                </c:pt>
                <c:pt idx="2">
                  <c:v>3.04</c:v>
                </c:pt>
                <c:pt idx="3">
                  <c:v>3.38</c:v>
                </c:pt>
              </c:numCache>
            </c:numRef>
          </c:val>
        </c:ser>
        <c:dLbls>
          <c:showLegendKey val="0"/>
          <c:showVal val="0"/>
          <c:showCatName val="0"/>
          <c:showSerName val="0"/>
          <c:showPercent val="0"/>
          <c:showBubbleSize val="0"/>
        </c:dLbls>
        <c:gapWidth val="219"/>
        <c:overlap val="-27"/>
        <c:axId val="424485552"/>
        <c:axId val="424484376"/>
      </c:barChart>
      <c:catAx>
        <c:axId val="42448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84376"/>
        <c:crosses val="autoZero"/>
        <c:auto val="1"/>
        <c:lblAlgn val="ctr"/>
        <c:lblOffset val="100"/>
        <c:noMultiLvlLbl val="0"/>
      </c:catAx>
      <c:valAx>
        <c:axId val="424484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a:t>
                </a:r>
                <a:r>
                  <a:rPr lang="en-GB" baseline="0"/>
                  <a:t> score (/4)</a:t>
                </a:r>
              </a:p>
              <a:p>
                <a:pPr>
                  <a:defRPr/>
                </a:pP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8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6AC6-6558-459C-88BD-B1D3280F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9773</Words>
  <Characters>55712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Tierney</dc:creator>
  <cp:keywords/>
  <dc:description/>
  <cp:lastModifiedBy>Anne Tierney</cp:lastModifiedBy>
  <cp:revision>18</cp:revision>
  <dcterms:created xsi:type="dcterms:W3CDTF">2014-09-30T15:16:00Z</dcterms:created>
  <dcterms:modified xsi:type="dcterms:W3CDTF">2014-11-01T21:34:00Z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zotero-version="4.0.23.1"&gt;&lt;session id="wxND1PMR"/&gt;&lt;style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